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bookmarkEnd w:id="0"/>
    <w:p w:rsidR="00F969B3" w:rsidRPr="00354FA8" w:rsidRDefault="00F969B3" w:rsidP="00F969B3">
      <w:pPr>
        <w:autoSpaceDE w:val="0"/>
        <w:autoSpaceDN w:val="0"/>
        <w:adjustRightInd w:val="0"/>
        <w:jc w:val="center"/>
        <w:rPr>
          <w:rFonts w:ascii="Arial" w:eastAsia="MinionPro-Regular" w:hAnsi="Arial" w:cs="Arial"/>
          <w:b/>
          <w:color w:val="000000"/>
          <w:sz w:val="28"/>
          <w:szCs w:val="28"/>
        </w:rPr>
      </w:pPr>
      <w:r w:rsidRPr="00354FA8">
        <w:rPr>
          <w:rFonts w:ascii="Arial" w:eastAsia="MinionPro-Regular" w:hAnsi="Arial" w:cs="Arial"/>
          <w:b/>
          <w:color w:val="000000"/>
          <w:sz w:val="28"/>
          <w:szCs w:val="28"/>
        </w:rPr>
        <w:t>Numerical Analysis of Porous R</w:t>
      </w:r>
      <w:r w:rsidRPr="00354FA8">
        <w:rPr>
          <w:rFonts w:ascii="Arial" w:hAnsi="Arial" w:cs="Arial"/>
          <w:b/>
          <w:color w:val="000000"/>
          <w:sz w:val="28"/>
          <w:szCs w:val="28"/>
        </w:rPr>
        <w:t>ecto semicircular</w:t>
      </w:r>
      <w:r w:rsidRPr="00354FA8">
        <w:rPr>
          <w:rFonts w:ascii="Arial" w:eastAsia="MinionPro-Regular" w:hAnsi="Arial" w:cs="Arial"/>
          <w:b/>
          <w:color w:val="000000"/>
          <w:sz w:val="28"/>
          <w:szCs w:val="28"/>
        </w:rPr>
        <w:t xml:space="preserve"> Enclosures with Non uniform heating of Bottom Wall</w:t>
      </w:r>
    </w:p>
    <w:p w:rsidR="00A47C1A" w:rsidRPr="00AB4995" w:rsidRDefault="00A47C1A" w:rsidP="00E627A7">
      <w:pPr>
        <w:ind w:firstLine="0"/>
        <w:contextualSpacing/>
        <w:jc w:val="center"/>
        <w:rPr>
          <w:szCs w:val="24"/>
        </w:rPr>
      </w:pPr>
    </w:p>
    <w:p w:rsidR="00F969B3" w:rsidRPr="00354FA8" w:rsidRDefault="00F969B3" w:rsidP="00F969B3">
      <w:pPr>
        <w:autoSpaceDE w:val="0"/>
        <w:autoSpaceDN w:val="0"/>
        <w:adjustRightInd w:val="0"/>
        <w:jc w:val="center"/>
        <w:rPr>
          <w:i/>
          <w:color w:val="000000"/>
          <w:sz w:val="20"/>
        </w:rPr>
      </w:pPr>
      <w:r w:rsidRPr="00A70AF0">
        <w:rPr>
          <w:b/>
          <w:bCs/>
          <w:color w:val="000000"/>
          <w:szCs w:val="24"/>
        </w:rPr>
        <w:t>SHANTANU DUTTA</w:t>
      </w:r>
      <w:r w:rsidRPr="00354FA8">
        <w:rPr>
          <w:b/>
          <w:bCs/>
          <w:color w:val="000000"/>
          <w:szCs w:val="24"/>
          <w:vertAlign w:val="superscript"/>
        </w:rPr>
        <w:t>1</w:t>
      </w:r>
      <w:r>
        <w:rPr>
          <w:b/>
          <w:bCs/>
          <w:color w:val="000000"/>
          <w:szCs w:val="24"/>
          <w:vertAlign w:val="superscript"/>
        </w:rPr>
        <w:t>*</w:t>
      </w:r>
      <w:r w:rsidRPr="00A70AF0">
        <w:rPr>
          <w:b/>
          <w:bCs/>
          <w:color w:val="000000"/>
          <w:szCs w:val="24"/>
        </w:rPr>
        <w:t xml:space="preserve">                   </w:t>
      </w:r>
      <w:r>
        <w:rPr>
          <w:b/>
          <w:bCs/>
          <w:color w:val="000000"/>
          <w:szCs w:val="24"/>
        </w:rPr>
        <w:t xml:space="preserve"> </w:t>
      </w:r>
      <w:r w:rsidRPr="00A70AF0">
        <w:rPr>
          <w:b/>
          <w:bCs/>
          <w:color w:val="000000"/>
          <w:szCs w:val="24"/>
        </w:rPr>
        <w:t xml:space="preserve"> ARUP KUMAR BISWAS</w:t>
      </w:r>
      <w:r w:rsidRPr="00354FA8">
        <w:rPr>
          <w:b/>
          <w:bCs/>
          <w:color w:val="000000"/>
          <w:szCs w:val="24"/>
          <w:vertAlign w:val="superscript"/>
        </w:rPr>
        <w:t>2</w:t>
      </w:r>
      <w:r w:rsidRPr="00A70AF0">
        <w:rPr>
          <w:b/>
          <w:bCs/>
          <w:color w:val="000000"/>
          <w:szCs w:val="24"/>
        </w:rPr>
        <w:t xml:space="preserve">                                         </w:t>
      </w:r>
      <w:r w:rsidRPr="00354FA8">
        <w:rPr>
          <w:i/>
          <w:color w:val="000000"/>
          <w:sz w:val="20"/>
        </w:rPr>
        <w:t xml:space="preserve">Department of Mechanical Engineering,        </w:t>
      </w:r>
      <w:r>
        <w:rPr>
          <w:i/>
          <w:color w:val="000000"/>
          <w:sz w:val="20"/>
        </w:rPr>
        <w:t xml:space="preserve">       </w:t>
      </w:r>
      <w:r w:rsidRPr="00354FA8">
        <w:rPr>
          <w:i/>
          <w:color w:val="000000"/>
          <w:sz w:val="20"/>
        </w:rPr>
        <w:t>Department of Mechanical Engineering,</w:t>
      </w:r>
    </w:p>
    <w:p w:rsidR="00F969B3" w:rsidRPr="00354FA8" w:rsidRDefault="00F969B3" w:rsidP="00F969B3">
      <w:pPr>
        <w:autoSpaceDE w:val="0"/>
        <w:autoSpaceDN w:val="0"/>
        <w:adjustRightInd w:val="0"/>
        <w:ind w:right="-472"/>
        <w:jc w:val="center"/>
        <w:rPr>
          <w:i/>
          <w:color w:val="000000"/>
          <w:sz w:val="20"/>
        </w:rPr>
      </w:pPr>
      <w:r w:rsidRPr="00354FA8">
        <w:rPr>
          <w:i/>
          <w:color w:val="000000"/>
          <w:sz w:val="20"/>
        </w:rPr>
        <w:t xml:space="preserve">NSHM Knowledge Campus Durgapur           </w:t>
      </w:r>
      <w:r>
        <w:rPr>
          <w:i/>
          <w:color w:val="000000"/>
          <w:sz w:val="20"/>
        </w:rPr>
        <w:t xml:space="preserve">       </w:t>
      </w:r>
      <w:r w:rsidRPr="00354FA8">
        <w:rPr>
          <w:i/>
          <w:color w:val="000000"/>
          <w:sz w:val="20"/>
        </w:rPr>
        <w:t>National Institute of Technology Durgapur</w:t>
      </w:r>
    </w:p>
    <w:p w:rsidR="00F969B3" w:rsidRPr="00354FA8" w:rsidRDefault="00F969B3" w:rsidP="00F969B3">
      <w:pPr>
        <w:autoSpaceDE w:val="0"/>
        <w:autoSpaceDN w:val="0"/>
        <w:adjustRightInd w:val="0"/>
        <w:jc w:val="center"/>
        <w:rPr>
          <w:i/>
          <w:color w:val="000000"/>
          <w:sz w:val="20"/>
        </w:rPr>
      </w:pPr>
      <w:r w:rsidRPr="00354FA8">
        <w:rPr>
          <w:i/>
          <w:color w:val="000000"/>
          <w:sz w:val="20"/>
        </w:rPr>
        <w:t>Durgapur-713212, India                                  Durgapur-713214, India</w:t>
      </w:r>
    </w:p>
    <w:p w:rsidR="00F969B3" w:rsidRPr="00354FA8" w:rsidRDefault="00F969B3" w:rsidP="00F969B3">
      <w:pPr>
        <w:autoSpaceDE w:val="0"/>
        <w:autoSpaceDN w:val="0"/>
        <w:adjustRightInd w:val="0"/>
        <w:ind w:right="-188"/>
        <w:jc w:val="center"/>
        <w:rPr>
          <w:rFonts w:eastAsia="MinionPro-Regular"/>
          <w:i/>
          <w:color w:val="000000"/>
          <w:sz w:val="20"/>
        </w:rPr>
      </w:pPr>
      <w:r>
        <w:rPr>
          <w:i/>
          <w:color w:val="000000"/>
          <w:sz w:val="20"/>
        </w:rPr>
        <w:t xml:space="preserve">Corresponding </w:t>
      </w:r>
      <w:r w:rsidRPr="00354FA8">
        <w:rPr>
          <w:i/>
          <w:color w:val="000000"/>
          <w:sz w:val="20"/>
        </w:rPr>
        <w:t xml:space="preserve">Email: </w:t>
      </w:r>
      <w:r w:rsidRPr="00354FA8">
        <w:rPr>
          <w:i/>
          <w:color w:val="000000"/>
          <w:sz w:val="20"/>
          <w:vertAlign w:val="superscript"/>
        </w:rPr>
        <w:t>1</w:t>
      </w:r>
      <w:r w:rsidRPr="00354FA8">
        <w:rPr>
          <w:i/>
          <w:color w:val="000000"/>
          <w:sz w:val="20"/>
        </w:rPr>
        <w:t>*</w:t>
      </w:r>
      <w:r w:rsidRPr="00354FA8">
        <w:rPr>
          <w:i/>
          <w:color w:val="0000FF"/>
          <w:sz w:val="20"/>
        </w:rPr>
        <w:t xml:space="preserve">shantanu.dutta@nshm.com       </w:t>
      </w:r>
      <w:r w:rsidRPr="00354FA8">
        <w:rPr>
          <w:i/>
          <w:color w:val="000000"/>
          <w:sz w:val="20"/>
        </w:rPr>
        <w:t xml:space="preserve">Email: </w:t>
      </w:r>
      <w:r w:rsidRPr="00354FA8">
        <w:rPr>
          <w:i/>
          <w:color w:val="000000"/>
          <w:sz w:val="20"/>
          <w:vertAlign w:val="superscript"/>
        </w:rPr>
        <w:t>2</w:t>
      </w:r>
      <w:r w:rsidRPr="00354FA8">
        <w:rPr>
          <w:i/>
          <w:color w:val="0000FF"/>
          <w:sz w:val="20"/>
        </w:rPr>
        <w:t>arup.biswas10@gmail.com</w:t>
      </w:r>
    </w:p>
    <w:p w:rsidR="00F969B3" w:rsidRDefault="00F969B3" w:rsidP="00F969B3">
      <w:pPr>
        <w:autoSpaceDE w:val="0"/>
        <w:autoSpaceDN w:val="0"/>
        <w:adjustRightInd w:val="0"/>
        <w:rPr>
          <w:b/>
          <w:bCs/>
          <w:color w:val="0F147D"/>
          <w:szCs w:val="24"/>
        </w:rPr>
      </w:pPr>
    </w:p>
    <w:p w:rsidR="002E457C" w:rsidRPr="000C7419" w:rsidRDefault="00B11368" w:rsidP="002E457C">
      <w:pPr>
        <w:ind w:left="567" w:firstLine="0"/>
        <w:contextualSpacing/>
        <w:rPr>
          <w:sz w:val="22"/>
          <w:szCs w:val="22"/>
        </w:rPr>
      </w:pPr>
      <w:r>
        <w:rPr>
          <w:sz w:val="22"/>
          <w:szCs w:val="22"/>
        </w:rPr>
        <w:t>------------------------------------------------------------------------------------------------------------------</w:t>
      </w:r>
    </w:p>
    <w:p w:rsidR="00F969B3" w:rsidRDefault="00F969B3" w:rsidP="00F969B3">
      <w:pPr>
        <w:autoSpaceDE w:val="0"/>
        <w:autoSpaceDN w:val="0"/>
        <w:adjustRightInd w:val="0"/>
        <w:rPr>
          <w:b/>
          <w:bCs/>
          <w:color w:val="0F147D"/>
          <w:szCs w:val="24"/>
        </w:rPr>
      </w:pPr>
      <w:r w:rsidRPr="00A70AF0">
        <w:rPr>
          <w:b/>
          <w:bCs/>
          <w:color w:val="0F147D"/>
          <w:szCs w:val="24"/>
        </w:rPr>
        <w:t>ABSTRACT</w:t>
      </w:r>
    </w:p>
    <w:p w:rsidR="00F969B3" w:rsidRDefault="00F969B3" w:rsidP="00F969B3">
      <w:pPr>
        <w:autoSpaceDE w:val="0"/>
        <w:autoSpaceDN w:val="0"/>
        <w:adjustRightInd w:val="0"/>
        <w:rPr>
          <w:color w:val="000000"/>
        </w:rPr>
      </w:pPr>
      <w:r w:rsidRPr="00354FA8">
        <w:rPr>
          <w:color w:val="000000"/>
        </w:rPr>
        <w:t xml:space="preserve">In this paper, we analyze numerically the effects of  natural convection heat transfer and entropy generation characteristics in a two-dimensional recto semicircular enclosure saturated with a porous medium. It is found that streamline strength increases with increase of Da number and there is a significant alteration in Nusselt number with the increase of Darcy number in the enclosure  and also </w:t>
      </w:r>
      <w:r>
        <w:rPr>
          <w:color w:val="000000"/>
        </w:rPr>
        <w:t xml:space="preserve">this phenomenon occurs </w:t>
      </w:r>
      <w:r w:rsidRPr="00354FA8">
        <w:rPr>
          <w:color w:val="000000"/>
        </w:rPr>
        <w:t>at higher values of Rayleigh number.</w:t>
      </w:r>
    </w:p>
    <w:p w:rsidR="00C23DFD" w:rsidRDefault="00F969B3" w:rsidP="00F969B3">
      <w:pPr>
        <w:autoSpaceDE w:val="0"/>
        <w:autoSpaceDN w:val="0"/>
        <w:adjustRightInd w:val="0"/>
        <w:rPr>
          <w:i/>
          <w:color w:val="000000"/>
        </w:rPr>
      </w:pPr>
      <w:r w:rsidRPr="00F969B3">
        <w:rPr>
          <w:rFonts w:ascii="Arial" w:hAnsi="Arial" w:cs="Arial"/>
          <w:b/>
          <w:i/>
          <w:color w:val="000000"/>
          <w:szCs w:val="24"/>
        </w:rPr>
        <w:t>Keywords</w:t>
      </w:r>
      <w:r>
        <w:rPr>
          <w:i/>
          <w:color w:val="000000"/>
          <w:szCs w:val="24"/>
        </w:rPr>
        <w:t>:</w:t>
      </w:r>
      <w:r w:rsidRPr="00354FA8">
        <w:rPr>
          <w:i/>
          <w:color w:val="000000"/>
        </w:rPr>
        <w:t>Natural convection; porous ; Nusselt Number</w:t>
      </w:r>
    </w:p>
    <w:p w:rsidR="00F969B3" w:rsidRDefault="00F969B3" w:rsidP="00F969B3">
      <w:pPr>
        <w:autoSpaceDE w:val="0"/>
        <w:autoSpaceDN w:val="0"/>
        <w:adjustRightInd w:val="0"/>
        <w:rPr>
          <w:i/>
          <w:color w:val="000000"/>
        </w:rPr>
      </w:pPr>
    </w:p>
    <w:p w:rsidR="00F969B3" w:rsidRPr="007675D9" w:rsidRDefault="00F969B3" w:rsidP="00F969B3">
      <w:pPr>
        <w:autoSpaceDE w:val="0"/>
        <w:autoSpaceDN w:val="0"/>
        <w:adjustRightInd w:val="0"/>
        <w:rPr>
          <w:sz w:val="22"/>
          <w:szCs w:val="22"/>
        </w:rPr>
      </w:pPr>
    </w:p>
    <w:p w:rsidR="00A47C1A" w:rsidRPr="00F969B3" w:rsidRDefault="00A47C1A" w:rsidP="007C635C">
      <w:pPr>
        <w:pStyle w:val="ListParagraph"/>
        <w:numPr>
          <w:ilvl w:val="0"/>
          <w:numId w:val="18"/>
        </w:numPr>
        <w:mirrorIndents/>
        <w:rPr>
          <w:rFonts w:ascii="Arial" w:hAnsi="Arial" w:cs="Arial"/>
          <w:b/>
          <w:color w:val="002060"/>
          <w:szCs w:val="24"/>
        </w:rPr>
      </w:pPr>
      <w:bookmarkStart w:id="1" w:name="_Ref473037328"/>
      <w:r w:rsidRPr="00F969B3">
        <w:rPr>
          <w:rFonts w:ascii="Arial" w:hAnsi="Arial" w:cs="Arial"/>
          <w:b/>
          <w:color w:val="002060"/>
          <w:szCs w:val="24"/>
        </w:rPr>
        <w:t>I</w:t>
      </w:r>
      <w:bookmarkEnd w:id="1"/>
      <w:r w:rsidR="00021A6C" w:rsidRPr="00F969B3">
        <w:rPr>
          <w:rFonts w:ascii="Arial" w:hAnsi="Arial" w:cs="Arial"/>
          <w:b/>
          <w:color w:val="002060"/>
          <w:szCs w:val="24"/>
        </w:rPr>
        <w:t>ntroduction</w:t>
      </w:r>
    </w:p>
    <w:p w:rsidR="007C635C" w:rsidRPr="007C635C" w:rsidRDefault="007C635C" w:rsidP="007C635C">
      <w:pPr>
        <w:ind w:left="360" w:firstLine="0"/>
        <w:mirrorIndents/>
        <w:rPr>
          <w:rFonts w:ascii="Arial" w:hAnsi="Arial" w:cs="Arial"/>
          <w:b/>
          <w:szCs w:val="24"/>
        </w:rPr>
      </w:pPr>
    </w:p>
    <w:p w:rsidR="00F969B3" w:rsidRPr="00354FA8" w:rsidRDefault="00F969B3" w:rsidP="00F969B3">
      <w:pPr>
        <w:autoSpaceDE w:val="0"/>
        <w:autoSpaceDN w:val="0"/>
        <w:adjustRightInd w:val="0"/>
        <w:rPr>
          <w:rFonts w:eastAsia="MinionPro-Regular"/>
          <w:szCs w:val="24"/>
        </w:rPr>
      </w:pPr>
      <w:r w:rsidRPr="00354FA8">
        <w:rPr>
          <w:rFonts w:eastAsia="MinionPro-Regular"/>
          <w:color w:val="000000"/>
          <w:szCs w:val="24"/>
        </w:rPr>
        <w:t xml:space="preserve">Natural convection in a porous enclosure plays an important role in numerous applications such as the thermal management of electronics devices, nuclear reactor systems, solar heating, geothermal exploitation, food processing, grain storage, energy-efficient drying processes, atmospheric study, to name a few. </w:t>
      </w:r>
      <w:r w:rsidRPr="00354FA8">
        <w:rPr>
          <w:szCs w:val="24"/>
        </w:rPr>
        <w:t>An important energy policy involves heat transfer process, where energy efficiency can be improved by optimizing system design along with preventive maintenance to detect energy losses. Since the primary objective is to minimize energy consumption in various processes, natural convection heat transfer is the preferred mode of heat transfer in various industries, as it requires no external energy sources inspite of its limitation of not being able to produce maximum heat transfer.</w:t>
      </w:r>
      <w:r w:rsidRPr="00354FA8">
        <w:rPr>
          <w:rFonts w:eastAsia="MinionPro-Regular"/>
          <w:color w:val="000000"/>
          <w:szCs w:val="24"/>
        </w:rPr>
        <w:t xml:space="preserve"> </w:t>
      </w:r>
      <w:r w:rsidRPr="00354FA8">
        <w:rPr>
          <w:szCs w:val="24"/>
        </w:rPr>
        <w:t xml:space="preserve">A comprehensive documentation of these applications can be found in Bejan et al.[1], Ingham et al.[2], Pop and Ingham [3], </w:t>
      </w:r>
      <w:r w:rsidRPr="00354FA8">
        <w:rPr>
          <w:rFonts w:eastAsia="AdvGulliv-R"/>
          <w:szCs w:val="24"/>
        </w:rPr>
        <w:t xml:space="preserve">Vafai [4]. </w:t>
      </w:r>
      <w:r w:rsidRPr="00354FA8">
        <w:rPr>
          <w:rFonts w:eastAsia="MinionPro-Regular"/>
          <w:color w:val="000000"/>
          <w:szCs w:val="24"/>
        </w:rPr>
        <w:t>Saeid and Pop [</w:t>
      </w:r>
      <w:r w:rsidRPr="00354FA8">
        <w:rPr>
          <w:rFonts w:eastAsia="MinionPro-Regular"/>
          <w:color w:val="000080"/>
          <w:szCs w:val="24"/>
        </w:rPr>
        <w:t>5</w:t>
      </w:r>
      <w:r w:rsidRPr="00354FA8">
        <w:rPr>
          <w:rFonts w:eastAsia="MinionPro-Regular"/>
          <w:color w:val="000000"/>
          <w:szCs w:val="24"/>
        </w:rPr>
        <w:t>] numerically studied the unsteady natural convection in a two-dimensional square cavity filled with a porous medium and concluded that the time required to reach the steady state is longer for low Rayleigh number and shorter for high Rayleigh number. Basak et al. [</w:t>
      </w:r>
      <w:r w:rsidRPr="00354FA8">
        <w:rPr>
          <w:rFonts w:eastAsia="MinionPro-Regular"/>
          <w:color w:val="000080"/>
          <w:szCs w:val="24"/>
        </w:rPr>
        <w:t>6</w:t>
      </w:r>
      <w:r w:rsidRPr="00354FA8">
        <w:rPr>
          <w:rFonts w:eastAsia="MinionPro-Regular"/>
          <w:color w:val="000000"/>
          <w:szCs w:val="24"/>
        </w:rPr>
        <w:t xml:space="preserve">] studied natural convection in a porous square cavity with uniform and non uniform </w:t>
      </w:r>
      <w:r w:rsidRPr="00354FA8">
        <w:rPr>
          <w:rFonts w:eastAsia="MinionPro-Regular"/>
          <w:szCs w:val="24"/>
        </w:rPr>
        <w:t>heating from the bottom wall for wide ranges of Rayleigh number (10</w:t>
      </w:r>
      <w:r w:rsidRPr="00354FA8">
        <w:rPr>
          <w:rFonts w:eastAsia="MinionPro-Regular"/>
          <w:szCs w:val="24"/>
          <w:vertAlign w:val="superscript"/>
        </w:rPr>
        <w:t>3</w:t>
      </w:r>
      <w:r w:rsidRPr="00354FA8">
        <w:rPr>
          <w:rFonts w:eastAsia="MinionPro-Regular"/>
          <w:szCs w:val="24"/>
        </w:rPr>
        <w:t xml:space="preserve">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 xml:space="preserve">Ra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10</w:t>
      </w:r>
      <w:r w:rsidRPr="00354FA8">
        <w:rPr>
          <w:rFonts w:eastAsia="MinionPro-Regular"/>
          <w:szCs w:val="24"/>
          <w:vertAlign w:val="superscript"/>
        </w:rPr>
        <w:t>6</w:t>
      </w:r>
      <w:r w:rsidRPr="00354FA8">
        <w:rPr>
          <w:rFonts w:eastAsia="MinionPro-Regular"/>
          <w:szCs w:val="24"/>
        </w:rPr>
        <w:t>), Darcy number(10</w:t>
      </w:r>
      <w:r w:rsidRPr="00354FA8">
        <w:rPr>
          <w:rFonts w:eastAsia="MinionPro-Regular"/>
          <w:szCs w:val="24"/>
          <w:vertAlign w:val="superscript"/>
        </w:rPr>
        <w:t>- 6</w:t>
      </w:r>
      <w:r w:rsidRPr="00354FA8">
        <w:rPr>
          <w:rFonts w:eastAsia="MinionPro-Regular"/>
          <w:szCs w:val="24"/>
        </w:rPr>
        <w:t xml:space="preserve">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 xml:space="preserve">Da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10</w:t>
      </w:r>
      <w:r w:rsidRPr="00354FA8">
        <w:rPr>
          <w:rFonts w:eastAsia="MinionPro-Regular"/>
          <w:szCs w:val="24"/>
          <w:vertAlign w:val="superscript"/>
        </w:rPr>
        <w:t>- 3</w:t>
      </w:r>
      <w:r w:rsidRPr="00354FA8">
        <w:rPr>
          <w:rFonts w:eastAsia="MinionPro-Regular"/>
          <w:szCs w:val="24"/>
        </w:rPr>
        <w:t xml:space="preserve">), and Prandtl number (0.71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 xml:space="preserve">Pr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 xml:space="preserve">10). They established that the conduction dominant heat transfer is observed for </w:t>
      </w:r>
      <w:r w:rsidRPr="00354FA8">
        <w:rPr>
          <w:rFonts w:eastAsia="MinionPro-Regular"/>
          <w:iCs/>
          <w:szCs w:val="24"/>
        </w:rPr>
        <w:t xml:space="preserve">Ra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7 X 10</w:t>
      </w:r>
      <w:r w:rsidRPr="00354FA8">
        <w:rPr>
          <w:rFonts w:eastAsia="MinionPro-Regular"/>
          <w:szCs w:val="24"/>
          <w:vertAlign w:val="superscript"/>
        </w:rPr>
        <w:t>4</w:t>
      </w:r>
      <w:r w:rsidRPr="00354FA8">
        <w:rPr>
          <w:rFonts w:eastAsia="MinionPro-Regular"/>
          <w:szCs w:val="24"/>
        </w:rPr>
        <w:t xml:space="preserve"> during uniform heating of the bottom wall whereas the heat transfer is dominated by conduction for Ra </w:t>
      </w:r>
      <w:r w:rsidRPr="00354FA8">
        <w:rPr>
          <w:rFonts w:eastAsia="STIXGeneral" w:hAnsi="Cambria Math"/>
          <w:szCs w:val="24"/>
        </w:rPr>
        <w:t>⩽</w:t>
      </w:r>
      <w:r w:rsidRPr="00354FA8">
        <w:rPr>
          <w:rFonts w:eastAsia="STIXGeneral"/>
          <w:szCs w:val="24"/>
        </w:rPr>
        <w:t xml:space="preserve"> </w:t>
      </w:r>
      <w:r w:rsidRPr="00354FA8">
        <w:rPr>
          <w:rFonts w:eastAsia="MinionPro-Regular"/>
          <w:szCs w:val="24"/>
        </w:rPr>
        <w:t>3 x 10</w:t>
      </w:r>
      <w:r w:rsidRPr="00354FA8">
        <w:rPr>
          <w:rFonts w:eastAsia="MinionPro-Regular"/>
          <w:szCs w:val="24"/>
          <w:vertAlign w:val="superscript"/>
        </w:rPr>
        <w:t>5</w:t>
      </w:r>
      <w:r w:rsidRPr="00354FA8">
        <w:rPr>
          <w:rFonts w:eastAsia="MinionPro-Regular"/>
          <w:szCs w:val="24"/>
        </w:rPr>
        <w:t xml:space="preserve"> for non uniform heating corresponding to Darcy number equal to 10</w:t>
      </w:r>
      <w:r w:rsidRPr="00354FA8">
        <w:rPr>
          <w:rFonts w:eastAsia="MinionPro-Regular"/>
          <w:szCs w:val="24"/>
          <w:vertAlign w:val="superscript"/>
        </w:rPr>
        <w:t>- 4</w:t>
      </w:r>
      <w:r w:rsidRPr="00354FA8">
        <w:rPr>
          <w:rFonts w:eastAsia="MinionPro-Regular"/>
          <w:szCs w:val="24"/>
        </w:rPr>
        <w:t>.</w:t>
      </w:r>
    </w:p>
    <w:p w:rsidR="00F969B3" w:rsidRPr="00354FA8" w:rsidRDefault="00F969B3" w:rsidP="00F969B3">
      <w:pPr>
        <w:autoSpaceDE w:val="0"/>
        <w:autoSpaceDN w:val="0"/>
        <w:adjustRightInd w:val="0"/>
        <w:rPr>
          <w:szCs w:val="24"/>
        </w:rPr>
      </w:pPr>
      <w:r w:rsidRPr="00354FA8">
        <w:rPr>
          <w:szCs w:val="24"/>
        </w:rPr>
        <w:t xml:space="preserve">Accordingly,the present objective of this study is to analyze the thermal and fluid flow due to natural convection in </w:t>
      </w:r>
      <w:r w:rsidRPr="00354FA8">
        <w:rPr>
          <w:color w:val="000000"/>
          <w:szCs w:val="24"/>
        </w:rPr>
        <w:t>recto semicircular</w:t>
      </w:r>
      <w:r w:rsidRPr="00354FA8">
        <w:rPr>
          <w:szCs w:val="24"/>
        </w:rPr>
        <w:t xml:space="preserve"> cavities  filled with fluid saturated porous medium with sinusoidal heating of bottom wall  in order to meet the requirement of maximum heat tr</w:t>
      </w:r>
      <w:r>
        <w:rPr>
          <w:szCs w:val="24"/>
        </w:rPr>
        <w:t>ansfer for various applications and is not reported in literature yet.</w:t>
      </w:r>
      <w:r w:rsidRPr="00354FA8">
        <w:rPr>
          <w:szCs w:val="24"/>
        </w:rPr>
        <w:t xml:space="preserve"> The  finite element method[7] has been employed to solve the nonlinear equations of fluid flow for a range of parameters, Da=10</w:t>
      </w:r>
      <w:r w:rsidRPr="00354FA8">
        <w:rPr>
          <w:szCs w:val="24"/>
          <w:vertAlign w:val="superscript"/>
        </w:rPr>
        <w:t>-5</w:t>
      </w:r>
      <w:r>
        <w:rPr>
          <w:szCs w:val="24"/>
          <w:vertAlign w:val="superscript"/>
        </w:rPr>
        <w:t xml:space="preserve"> </w:t>
      </w:r>
      <w:r w:rsidRPr="00354FA8">
        <w:rPr>
          <w:szCs w:val="24"/>
        </w:rPr>
        <w:t>-10</w:t>
      </w:r>
      <w:r w:rsidRPr="00354FA8">
        <w:rPr>
          <w:szCs w:val="24"/>
          <w:vertAlign w:val="superscript"/>
        </w:rPr>
        <w:t>-3</w:t>
      </w:r>
      <w:r w:rsidRPr="00354FA8">
        <w:rPr>
          <w:szCs w:val="24"/>
        </w:rPr>
        <w:t xml:space="preserve"> </w:t>
      </w:r>
      <w:r>
        <w:rPr>
          <w:szCs w:val="24"/>
        </w:rPr>
        <w:t xml:space="preserve">along with </w:t>
      </w:r>
      <w:r w:rsidRPr="00354FA8">
        <w:rPr>
          <w:szCs w:val="24"/>
        </w:rPr>
        <w:t>Pr=0.71 at different Rayleigh number (Ra=10</w:t>
      </w:r>
      <w:r>
        <w:rPr>
          <w:szCs w:val="24"/>
          <w:vertAlign w:val="superscript"/>
        </w:rPr>
        <w:t>3</w:t>
      </w:r>
      <w:r w:rsidRPr="00354FA8">
        <w:rPr>
          <w:szCs w:val="24"/>
        </w:rPr>
        <w:t>-10</w:t>
      </w:r>
      <w:r w:rsidRPr="00354FA8">
        <w:rPr>
          <w:szCs w:val="24"/>
          <w:vertAlign w:val="superscript"/>
        </w:rPr>
        <w:t>6</w:t>
      </w:r>
      <w:r w:rsidRPr="00354FA8">
        <w:rPr>
          <w:szCs w:val="24"/>
        </w:rPr>
        <w:t>),in order to show the effect of Da. The results are presented in terms of contours of isotherms (θ), streamlines (ψ) and average Nu</w:t>
      </w:r>
      <w:r>
        <w:rPr>
          <w:szCs w:val="24"/>
        </w:rPr>
        <w:t>(Nu</w:t>
      </w:r>
      <w:r w:rsidRPr="00256F8A">
        <w:rPr>
          <w:szCs w:val="24"/>
          <w:vertAlign w:val="subscript"/>
        </w:rPr>
        <w:t>avg</w:t>
      </w:r>
      <w:r>
        <w:rPr>
          <w:szCs w:val="24"/>
        </w:rPr>
        <w:t>)</w:t>
      </w:r>
      <w:r w:rsidRPr="00354FA8">
        <w:rPr>
          <w:szCs w:val="24"/>
        </w:rPr>
        <w:t xml:space="preserve">. </w:t>
      </w:r>
    </w:p>
    <w:p w:rsidR="00A47C1A" w:rsidRPr="00205179" w:rsidRDefault="00A47C1A" w:rsidP="00942EA6">
      <w:pPr>
        <w:ind w:firstLine="397"/>
        <w:contextualSpacing/>
        <w:mirrorIndents/>
        <w:rPr>
          <w:szCs w:val="24"/>
        </w:rPr>
      </w:pPr>
    </w:p>
    <w:p w:rsidR="00F969B3" w:rsidRDefault="00F969B3" w:rsidP="00F969B3">
      <w:pPr>
        <w:pStyle w:val="ListParagraph"/>
        <w:numPr>
          <w:ilvl w:val="1"/>
          <w:numId w:val="20"/>
        </w:numPr>
        <w:autoSpaceDE w:val="0"/>
        <w:autoSpaceDN w:val="0"/>
        <w:adjustRightInd w:val="0"/>
        <w:rPr>
          <w:rFonts w:eastAsia="MinionPro-Regular"/>
          <w:color w:val="000000"/>
          <w:szCs w:val="24"/>
        </w:rPr>
      </w:pPr>
      <w:r w:rsidRPr="004C5C54">
        <w:rPr>
          <w:rFonts w:ascii="Arial" w:hAnsi="Arial" w:cs="Arial"/>
          <w:b/>
          <w:bCs/>
          <w:iCs/>
          <w:color w:val="0F147D"/>
          <w:szCs w:val="24"/>
        </w:rPr>
        <w:t>Problem specification</w:t>
      </w:r>
      <w:r w:rsidRPr="004C5C54">
        <w:rPr>
          <w:b/>
          <w:bCs/>
          <w:iCs/>
          <w:color w:val="0F147D"/>
          <w:szCs w:val="24"/>
        </w:rPr>
        <w:t>:</w:t>
      </w:r>
      <w:r w:rsidRPr="004C5C54">
        <w:rPr>
          <w:rFonts w:eastAsia="MinionPro-Regular"/>
          <w:color w:val="000000"/>
          <w:szCs w:val="24"/>
        </w:rPr>
        <w:t xml:space="preserve"> </w:t>
      </w:r>
    </w:p>
    <w:p w:rsidR="00F969B3" w:rsidRDefault="00F969B3" w:rsidP="00F969B3">
      <w:pPr>
        <w:autoSpaceDE w:val="0"/>
        <w:autoSpaceDN w:val="0"/>
        <w:adjustRightInd w:val="0"/>
        <w:rPr>
          <w:rFonts w:eastAsia="MinionPro-Regular"/>
          <w:color w:val="000000"/>
          <w:szCs w:val="24"/>
        </w:rPr>
      </w:pPr>
      <w:r>
        <w:rPr>
          <w:rFonts w:eastAsia="MinionPro-Regular"/>
          <w:color w:val="000000"/>
          <w:szCs w:val="24"/>
        </w:rPr>
        <w:lastRenderedPageBreak/>
        <w:t xml:space="preserve">      </w:t>
      </w:r>
      <w:r w:rsidRPr="00354FA8">
        <w:rPr>
          <w:rFonts w:eastAsia="MinionPro-Regular"/>
          <w:color w:val="000000"/>
          <w:szCs w:val="24"/>
        </w:rPr>
        <w:t xml:space="preserve">Consider a two-dimensional recto semicircular enclosure saturated with porous media as shown in </w:t>
      </w:r>
      <w:r w:rsidRPr="00354FA8">
        <w:rPr>
          <w:rFonts w:eastAsia="MinionPro-Regular"/>
          <w:color w:val="000080"/>
          <w:szCs w:val="24"/>
        </w:rPr>
        <w:t>Figure 1</w:t>
      </w:r>
      <w:r w:rsidRPr="00354FA8">
        <w:rPr>
          <w:rFonts w:eastAsia="MinionPro-Regular"/>
          <w:color w:val="000000"/>
          <w:szCs w:val="24"/>
        </w:rPr>
        <w:t xml:space="preserve">. </w:t>
      </w:r>
    </w:p>
    <w:p w:rsidR="00F969B3" w:rsidRPr="00354FA8" w:rsidRDefault="00F969B3" w:rsidP="00F969B3">
      <w:pPr>
        <w:autoSpaceDE w:val="0"/>
        <w:autoSpaceDN w:val="0"/>
        <w:adjustRightInd w:val="0"/>
        <w:rPr>
          <w:rFonts w:eastAsia="MinionPro-Regular"/>
          <w:color w:val="000000"/>
          <w:szCs w:val="24"/>
        </w:rPr>
      </w:pPr>
    </w:p>
    <w:p w:rsidR="00F969B3" w:rsidRPr="00354FA8" w:rsidRDefault="00F969B3" w:rsidP="00F969B3">
      <w:pPr>
        <w:autoSpaceDE w:val="0"/>
        <w:autoSpaceDN w:val="0"/>
        <w:adjustRightInd w:val="0"/>
        <w:jc w:val="center"/>
        <w:rPr>
          <w:rFonts w:eastAsia="MinionPro-Regular"/>
          <w:color w:val="000000"/>
          <w:szCs w:val="24"/>
        </w:rPr>
      </w:pPr>
      <w:r>
        <w:rPr>
          <w:rFonts w:eastAsia="MinionPro-Regular"/>
          <w:noProof/>
          <w:color w:val="000000"/>
          <w:szCs w:val="24"/>
          <w:lang w:val="en-IN" w:eastAsia="en-IN"/>
        </w:rPr>
        <w:drawing>
          <wp:inline distT="0" distB="0" distL="0" distR="0">
            <wp:extent cx="1538445" cy="1406626"/>
            <wp:effectExtent l="19050" t="0" r="460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cstate="print"/>
                    <a:srcRect/>
                    <a:stretch>
                      <a:fillRect/>
                    </a:stretch>
                  </pic:blipFill>
                  <pic:spPr bwMode="auto">
                    <a:xfrm>
                      <a:off x="0" y="0"/>
                      <a:ext cx="1550052" cy="1417238"/>
                    </a:xfrm>
                    <a:prstGeom prst="rect">
                      <a:avLst/>
                    </a:prstGeom>
                    <a:noFill/>
                    <a:ln w="9525">
                      <a:noFill/>
                      <a:miter lim="800000"/>
                      <a:headEnd/>
                      <a:tailEnd/>
                    </a:ln>
                  </pic:spPr>
                </pic:pic>
              </a:graphicData>
            </a:graphic>
          </wp:inline>
        </w:drawing>
      </w:r>
    </w:p>
    <w:p w:rsidR="00F969B3" w:rsidRPr="00061784" w:rsidRDefault="00F969B3" w:rsidP="00F969B3">
      <w:pPr>
        <w:contextualSpacing/>
        <w:mirrorIndents/>
        <w:jc w:val="center"/>
        <w:rPr>
          <w:rFonts w:ascii="Arial" w:hAnsi="Arial" w:cs="Arial"/>
          <w:szCs w:val="24"/>
        </w:rPr>
      </w:pPr>
      <w:r w:rsidRPr="00061784">
        <w:rPr>
          <w:rFonts w:ascii="Arial" w:hAnsi="Arial" w:cs="Arial"/>
          <w:szCs w:val="24"/>
        </w:rPr>
        <w:t xml:space="preserve">Fig. 1. Schematic of the 2 dimensional enclosure </w:t>
      </w:r>
    </w:p>
    <w:p w:rsidR="00F969B3" w:rsidRPr="00354FA8" w:rsidRDefault="00F969B3" w:rsidP="00F969B3">
      <w:pPr>
        <w:autoSpaceDE w:val="0"/>
        <w:autoSpaceDN w:val="0"/>
        <w:adjustRightInd w:val="0"/>
        <w:rPr>
          <w:rFonts w:eastAsia="MinionPro-Regular"/>
          <w:color w:val="000000"/>
          <w:szCs w:val="24"/>
        </w:rPr>
      </w:pPr>
      <w:r w:rsidRPr="00354FA8">
        <w:rPr>
          <w:rFonts w:eastAsia="MinionPro-Regular"/>
          <w:color w:val="000000"/>
          <w:szCs w:val="24"/>
        </w:rPr>
        <w:t xml:space="preserve">The enclosure is heated non-uniformly from </w:t>
      </w:r>
      <w:r>
        <w:rPr>
          <w:rFonts w:eastAsia="MinionPro-Regular"/>
          <w:color w:val="000000"/>
          <w:szCs w:val="24"/>
        </w:rPr>
        <w:t>bottom</w:t>
      </w:r>
      <w:r w:rsidRPr="00354FA8">
        <w:rPr>
          <w:rFonts w:eastAsia="MinionPro-Regular"/>
          <w:color w:val="000000"/>
          <w:szCs w:val="24"/>
        </w:rPr>
        <w:t xml:space="preserve"> wall, while the left walls are cooled to a constant temperature. The right walls are maintained adiabatic. </w:t>
      </w:r>
    </w:p>
    <w:p w:rsidR="00F969B3" w:rsidRPr="00354FA8" w:rsidRDefault="00F969B3" w:rsidP="00F969B3">
      <w:pPr>
        <w:autoSpaceDE w:val="0"/>
        <w:autoSpaceDN w:val="0"/>
        <w:adjustRightInd w:val="0"/>
        <w:rPr>
          <w:rFonts w:eastAsia="MinionPro-Regular"/>
          <w:color w:val="000000"/>
          <w:szCs w:val="24"/>
        </w:rPr>
      </w:pPr>
      <w:r w:rsidRPr="00354FA8">
        <w:rPr>
          <w:rFonts w:eastAsia="MinionPro-Regular"/>
          <w:color w:val="000000"/>
          <w:szCs w:val="24"/>
        </w:rPr>
        <w:t>The dimensionless form of the temperature distribution on the heated wall (Eq. (</w:t>
      </w:r>
      <w:r w:rsidRPr="00354FA8">
        <w:rPr>
          <w:rFonts w:eastAsia="MinionPro-Regular"/>
          <w:color w:val="000080"/>
          <w:szCs w:val="24"/>
        </w:rPr>
        <w:t>1</w:t>
      </w:r>
      <w:r w:rsidRPr="00354FA8">
        <w:rPr>
          <w:rFonts w:eastAsia="MinionPro-Regular"/>
          <w:color w:val="000000"/>
          <w:szCs w:val="24"/>
        </w:rPr>
        <w:t>)) can be referred in [</w:t>
      </w:r>
      <w:r w:rsidRPr="00354FA8">
        <w:rPr>
          <w:rFonts w:eastAsia="MinionPro-Regular"/>
          <w:color w:val="000080"/>
          <w:szCs w:val="24"/>
        </w:rPr>
        <w:t>8</w:t>
      </w:r>
      <w:r w:rsidRPr="00354FA8">
        <w:rPr>
          <w:rFonts w:eastAsia="MinionPro-Regular"/>
          <w:color w:val="000000"/>
          <w:szCs w:val="24"/>
        </w:rPr>
        <w:t>] as</w:t>
      </w:r>
    </w:p>
    <w:p w:rsidR="00F969B3" w:rsidRPr="00354FA8" w:rsidRDefault="00F969B3" w:rsidP="00F969B3">
      <w:pPr>
        <w:autoSpaceDE w:val="0"/>
        <w:autoSpaceDN w:val="0"/>
        <w:adjustRightInd w:val="0"/>
        <w:rPr>
          <w:rFonts w:eastAsia="MinionPro-Regular"/>
          <w:color w:val="000000"/>
          <w:szCs w:val="24"/>
        </w:rPr>
      </w:pPr>
      <w:r w:rsidRPr="00354FA8">
        <w:rPr>
          <w:rFonts w:eastAsia="MinionPro-Regular"/>
          <w:color w:val="000000"/>
          <w:position w:val="-24"/>
          <w:szCs w:val="24"/>
        </w:rPr>
        <w:object w:dxaOrig="2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5pt;height:31.15pt" o:ole="">
            <v:imagedata r:id="rId9" o:title=""/>
          </v:shape>
          <o:OLEObject Type="Embed" ProgID="Equation.3" ShapeID="_x0000_i1025" DrawAspect="Content" ObjectID="_1612205689" r:id="rId10"/>
        </w:object>
      </w:r>
      <w:r w:rsidRPr="00354FA8">
        <w:rPr>
          <w:rFonts w:eastAsia="MinionPro-Regular"/>
          <w:color w:val="000000"/>
          <w:szCs w:val="24"/>
        </w:rPr>
        <w:t xml:space="preserve">                                                                                                            (</w:t>
      </w:r>
      <w:r>
        <w:rPr>
          <w:rFonts w:eastAsia="MinionPro-Regular"/>
          <w:color w:val="000000"/>
          <w:szCs w:val="24"/>
        </w:rPr>
        <w:t>1</w:t>
      </w:r>
      <w:r w:rsidRPr="00354FA8">
        <w:rPr>
          <w:rFonts w:eastAsia="MinionPro-Regular"/>
          <w:color w:val="000000"/>
          <w:szCs w:val="24"/>
        </w:rPr>
        <w:t>)</w:t>
      </w:r>
    </w:p>
    <w:p w:rsidR="007C635C" w:rsidRPr="007C635C" w:rsidRDefault="00F969B3" w:rsidP="007C635C">
      <w:pPr>
        <w:ind w:left="360" w:firstLine="0"/>
        <w:mirrorIndents/>
        <w:rPr>
          <w:rFonts w:ascii="Arial" w:hAnsi="Arial" w:cs="Arial"/>
          <w:b/>
          <w:szCs w:val="24"/>
        </w:rPr>
      </w:pPr>
      <w:r>
        <w:rPr>
          <w:rFonts w:ascii="Arial" w:hAnsi="Arial" w:cs="Arial"/>
          <w:b/>
          <w:bCs/>
          <w:color w:val="0F147D"/>
          <w:szCs w:val="24"/>
        </w:rPr>
        <w:t>2.</w:t>
      </w:r>
      <w:r w:rsidRPr="005F5AB2">
        <w:rPr>
          <w:rFonts w:ascii="Arial" w:hAnsi="Arial" w:cs="Arial"/>
          <w:b/>
          <w:bCs/>
          <w:color w:val="0F147D"/>
          <w:szCs w:val="24"/>
        </w:rPr>
        <w:t>Governing equations and boundary conditions</w:t>
      </w:r>
    </w:p>
    <w:p w:rsidR="00F969B3" w:rsidRPr="00F969B3" w:rsidRDefault="00F969B3" w:rsidP="00F969B3">
      <w:pPr>
        <w:autoSpaceDE w:val="0"/>
        <w:autoSpaceDN w:val="0"/>
        <w:adjustRightInd w:val="0"/>
        <w:rPr>
          <w:rStyle w:val="SC176157"/>
          <w:sz w:val="24"/>
          <w:szCs w:val="24"/>
        </w:rPr>
      </w:pPr>
      <w:r>
        <w:rPr>
          <w:szCs w:val="24"/>
        </w:rPr>
        <w:t xml:space="preserve">      </w:t>
      </w:r>
      <w:r w:rsidRPr="00F969B3">
        <w:rPr>
          <w:szCs w:val="24"/>
        </w:rPr>
        <w:t xml:space="preserve">The fluid flow obeys Darcy law. The fluid and solid matrix of porous medium are in thermal equilibrium.  There is no phase change.  The fluid properties are constant except the variation of density with temperature. </w:t>
      </w:r>
      <w:r w:rsidRPr="00F969B3">
        <w:rPr>
          <w:rFonts w:eastAsia="MinionPro-Regular"/>
          <w:szCs w:val="24"/>
        </w:rPr>
        <w:t>Furthermore, it is assumed that the temperature of the fluid is equal to the temperature of the solid everywhere in the porous region, and local thermal equilibrium is applicable</w:t>
      </w:r>
      <w:r w:rsidRPr="00F969B3">
        <w:rPr>
          <w:szCs w:val="24"/>
        </w:rPr>
        <w:t xml:space="preserve"> The heat and fluid flow in porous medium are governed by following non-dimensional form of equations.</w:t>
      </w:r>
      <w:r w:rsidRPr="00F969B3">
        <w:rPr>
          <w:rStyle w:val="SC176157"/>
          <w:sz w:val="24"/>
          <w:szCs w:val="24"/>
        </w:rPr>
        <w:t xml:space="preserve"> We model this natural-convection problem by introducing a Boussinesq buoyancy term to the Brinkman’s momentum equation, and then link the resulting fluid velocities to the heat transfer in porous media . The Boussinesq buoyancy term after converting in terms of Rayleigh number that appears on the right-hand-side of the ‘Y’momentum equation accounts for the lifting force due to thermal expansion.</w:t>
      </w:r>
    </w:p>
    <w:p w:rsidR="00F969B3" w:rsidRPr="00354FA8" w:rsidRDefault="00F969B3" w:rsidP="00F969B3">
      <w:pPr>
        <w:ind w:firstLine="357"/>
        <w:rPr>
          <w:szCs w:val="24"/>
        </w:rPr>
      </w:pPr>
      <w:r w:rsidRPr="00354FA8">
        <w:rPr>
          <w:szCs w:val="24"/>
        </w:rPr>
        <w:t>The governing equations pertinent to the present problem can be wri</w:t>
      </w:r>
      <w:r>
        <w:rPr>
          <w:szCs w:val="24"/>
        </w:rPr>
        <w:t xml:space="preserve">tten in dimensionless form as  </w:t>
      </w:r>
      <w:r w:rsidRPr="00354FA8">
        <w:rPr>
          <w:szCs w:val="24"/>
        </w:rPr>
        <w:t>continuity equation:</w:t>
      </w:r>
    </w:p>
    <w:p w:rsidR="00F969B3" w:rsidRDefault="00F969B3" w:rsidP="00F969B3">
      <w:pPr>
        <w:ind w:firstLine="357"/>
        <w:rPr>
          <w:szCs w:val="24"/>
        </w:rPr>
      </w:pPr>
      <w:r w:rsidRPr="00354FA8">
        <w:rPr>
          <w:position w:val="-22"/>
          <w:szCs w:val="24"/>
        </w:rPr>
        <w:object w:dxaOrig="1140" w:dyaOrig="560">
          <v:shape id="_x0000_i1026" type="#_x0000_t75" style="width:56.95pt;height:27.95pt" o:ole="">
            <v:imagedata r:id="rId11" o:title=""/>
          </v:shape>
          <o:OLEObject Type="Embed" ProgID="Equation.DSMT4" ShapeID="_x0000_i1026" DrawAspect="Content" ObjectID="_1612205690" r:id="rId12"/>
        </w:object>
      </w:r>
      <w:r w:rsidRPr="00354FA8">
        <w:rPr>
          <w:szCs w:val="24"/>
        </w:rPr>
        <w:t xml:space="preserve">                                                                                                            </w:t>
      </w:r>
      <w:r>
        <w:rPr>
          <w:szCs w:val="24"/>
        </w:rPr>
        <w:t xml:space="preserve">           </w:t>
      </w:r>
      <w:r w:rsidRPr="00354FA8">
        <w:rPr>
          <w:szCs w:val="24"/>
        </w:rPr>
        <w:t xml:space="preserve"> (</w:t>
      </w:r>
      <w:r>
        <w:rPr>
          <w:szCs w:val="24"/>
        </w:rPr>
        <w:t>2</w:t>
      </w:r>
      <w:r w:rsidRPr="00354FA8">
        <w:rPr>
          <w:szCs w:val="24"/>
        </w:rPr>
        <w:t xml:space="preserve">) </w:t>
      </w:r>
    </w:p>
    <w:p w:rsidR="00F969B3" w:rsidRPr="00354FA8" w:rsidRDefault="00F969B3" w:rsidP="00F969B3">
      <w:pPr>
        <w:ind w:firstLine="357"/>
        <w:rPr>
          <w:szCs w:val="24"/>
        </w:rPr>
      </w:pPr>
      <w:r>
        <w:rPr>
          <w:szCs w:val="24"/>
        </w:rPr>
        <w:t>X-momentum equation:</w:t>
      </w:r>
    </w:p>
    <w:p w:rsidR="00F969B3" w:rsidRPr="00354FA8" w:rsidRDefault="00F969B3" w:rsidP="00F969B3">
      <w:pPr>
        <w:rPr>
          <w:szCs w:val="24"/>
        </w:rPr>
      </w:pPr>
      <w:r w:rsidRPr="00354FA8">
        <w:rPr>
          <w:position w:val="-10"/>
          <w:szCs w:val="24"/>
        </w:rPr>
        <w:object w:dxaOrig="180" w:dyaOrig="340">
          <v:shape id="_x0000_i1027" type="#_x0000_t75" style="width:9.65pt;height:3.2pt" o:ole="">
            <v:imagedata r:id="rId13" o:title=""/>
          </v:shape>
          <o:OLEObject Type="Embed" ProgID="Equation.3" ShapeID="_x0000_i1027" DrawAspect="Content" ObjectID="_1612205691" r:id="rId14"/>
        </w:object>
      </w:r>
      <w:r w:rsidRPr="00354FA8">
        <w:rPr>
          <w:position w:val="-24"/>
          <w:szCs w:val="24"/>
        </w:rPr>
        <w:object w:dxaOrig="4720" w:dyaOrig="660">
          <v:shape id="_x0000_i1028" type="#_x0000_t75" style="width:203.65pt;height:31.15pt" o:ole="">
            <v:imagedata r:id="rId15" o:title=""/>
          </v:shape>
          <o:OLEObject Type="Embed" ProgID="Equation.3" ShapeID="_x0000_i1028" DrawAspect="Content" ObjectID="_1612205692" r:id="rId16"/>
        </w:object>
      </w:r>
      <w:r w:rsidRPr="00354FA8">
        <w:rPr>
          <w:szCs w:val="24"/>
        </w:rPr>
        <w:t xml:space="preserve">                                                                        (</w:t>
      </w:r>
      <w:r>
        <w:rPr>
          <w:szCs w:val="24"/>
        </w:rPr>
        <w:t>3</w:t>
      </w:r>
      <w:r w:rsidRPr="00354FA8">
        <w:rPr>
          <w:szCs w:val="24"/>
        </w:rPr>
        <w:t xml:space="preserve">)                                                                                                                                                                                    </w:t>
      </w:r>
    </w:p>
    <w:p w:rsidR="00F969B3" w:rsidRPr="00354FA8" w:rsidRDefault="00F969B3" w:rsidP="00F969B3">
      <w:pPr>
        <w:ind w:firstLine="357"/>
        <w:rPr>
          <w:szCs w:val="24"/>
        </w:rPr>
      </w:pPr>
      <w:r w:rsidRPr="00354FA8">
        <w:rPr>
          <w:szCs w:val="24"/>
        </w:rPr>
        <w:t xml:space="preserve">Y-momentum equation: </w:t>
      </w:r>
    </w:p>
    <w:p w:rsidR="00F969B3" w:rsidRPr="00354FA8" w:rsidRDefault="00F969B3" w:rsidP="00F969B3">
      <w:pPr>
        <w:rPr>
          <w:szCs w:val="24"/>
        </w:rPr>
      </w:pPr>
      <w:r w:rsidRPr="00354FA8">
        <w:rPr>
          <w:position w:val="-24"/>
          <w:szCs w:val="24"/>
        </w:rPr>
        <w:object w:dxaOrig="5580" w:dyaOrig="660">
          <v:shape id="_x0000_i1029" type="#_x0000_t75" style="width:257.35pt;height:31.15pt" o:ole="">
            <v:imagedata r:id="rId17" o:title=""/>
          </v:shape>
          <o:OLEObject Type="Embed" ProgID="Equation.3" ShapeID="_x0000_i1029" DrawAspect="Content" ObjectID="_1612205693" r:id="rId18"/>
        </w:object>
      </w:r>
      <w:r w:rsidRPr="00354FA8">
        <w:rPr>
          <w:szCs w:val="24"/>
        </w:rPr>
        <w:t xml:space="preserve">                                                  </w:t>
      </w:r>
      <w:r>
        <w:rPr>
          <w:szCs w:val="24"/>
        </w:rPr>
        <w:t xml:space="preserve">    </w:t>
      </w:r>
      <w:r w:rsidRPr="00354FA8">
        <w:rPr>
          <w:szCs w:val="24"/>
        </w:rPr>
        <w:t xml:space="preserve">  (</w:t>
      </w:r>
      <w:r>
        <w:rPr>
          <w:szCs w:val="24"/>
        </w:rPr>
        <w:t>4</w:t>
      </w:r>
      <w:r w:rsidRPr="00354FA8">
        <w:rPr>
          <w:szCs w:val="24"/>
        </w:rPr>
        <w:t xml:space="preserve">)                                                                  </w:t>
      </w:r>
    </w:p>
    <w:p w:rsidR="00F969B3" w:rsidRPr="00354FA8" w:rsidRDefault="00F969B3" w:rsidP="00F969B3">
      <w:pPr>
        <w:ind w:firstLine="357"/>
        <w:rPr>
          <w:szCs w:val="24"/>
        </w:rPr>
      </w:pPr>
      <w:r w:rsidRPr="00354FA8">
        <w:rPr>
          <w:szCs w:val="24"/>
        </w:rPr>
        <w:t xml:space="preserve">Energy equation: </w:t>
      </w:r>
    </w:p>
    <w:p w:rsidR="00F969B3" w:rsidRPr="00354FA8" w:rsidRDefault="00F969B3" w:rsidP="00F969B3">
      <w:pPr>
        <w:ind w:firstLine="357"/>
        <w:rPr>
          <w:szCs w:val="24"/>
        </w:rPr>
      </w:pPr>
      <w:r w:rsidRPr="00354FA8">
        <w:rPr>
          <w:position w:val="-28"/>
          <w:szCs w:val="24"/>
        </w:rPr>
        <w:object w:dxaOrig="2439" w:dyaOrig="660">
          <v:shape id="_x0000_i1030" type="#_x0000_t75" style="width:132.7pt;height:35.45pt" o:ole="">
            <v:imagedata r:id="rId19" o:title=""/>
          </v:shape>
          <o:OLEObject Type="Embed" ProgID="Equation.DSMT4" ShapeID="_x0000_i1030" DrawAspect="Content" ObjectID="_1612205694" r:id="rId20"/>
        </w:object>
      </w:r>
      <w:r w:rsidRPr="00354FA8">
        <w:rPr>
          <w:szCs w:val="24"/>
        </w:rPr>
        <w:t xml:space="preserve">                                                                                    </w:t>
      </w:r>
      <w:r>
        <w:rPr>
          <w:szCs w:val="24"/>
        </w:rPr>
        <w:t xml:space="preserve">             </w:t>
      </w:r>
      <w:r w:rsidRPr="00354FA8">
        <w:rPr>
          <w:szCs w:val="24"/>
        </w:rPr>
        <w:t xml:space="preserve"> (</w:t>
      </w:r>
      <w:r>
        <w:rPr>
          <w:szCs w:val="24"/>
        </w:rPr>
        <w:t>5</w:t>
      </w:r>
      <w:r w:rsidRPr="00354FA8">
        <w:rPr>
          <w:szCs w:val="24"/>
        </w:rPr>
        <w:t xml:space="preserve">)                                                                                                                                                      </w:t>
      </w:r>
    </w:p>
    <w:p w:rsidR="00F969B3" w:rsidRPr="00354FA8" w:rsidRDefault="00F969B3" w:rsidP="00F969B3">
      <w:pPr>
        <w:autoSpaceDE w:val="0"/>
        <w:autoSpaceDN w:val="0"/>
        <w:adjustRightInd w:val="0"/>
        <w:rPr>
          <w:rFonts w:eastAsia="AdvGulliv-R"/>
          <w:szCs w:val="24"/>
        </w:rPr>
      </w:pPr>
      <w:r w:rsidRPr="00354FA8">
        <w:rPr>
          <w:rFonts w:eastAsia="AdvGulliv-R"/>
          <w:szCs w:val="24"/>
        </w:rPr>
        <w:t>In the above equations, various dimensionless parameters are defined as</w:t>
      </w:r>
      <w:r w:rsidRPr="00354FA8">
        <w:rPr>
          <w:rFonts w:eastAsia="AdvGulliv-R"/>
          <w:position w:val="-10"/>
          <w:szCs w:val="24"/>
        </w:rPr>
        <w:object w:dxaOrig="760" w:dyaOrig="300">
          <v:shape id="_x0000_i1031" type="#_x0000_t75" style="width:38.15pt;height:15.05pt" o:ole="">
            <v:imagedata r:id="rId21" o:title=""/>
          </v:shape>
          <o:OLEObject Type="Embed" ProgID="Equation.DSMT4" ShapeID="_x0000_i1031" DrawAspect="Content" ObjectID="_1612205695" r:id="rId22"/>
        </w:object>
      </w:r>
      <w:r w:rsidRPr="00354FA8">
        <w:rPr>
          <w:rFonts w:eastAsia="AdvGulliv-R"/>
          <w:szCs w:val="24"/>
        </w:rPr>
        <w:t xml:space="preserve">, </w:t>
      </w:r>
      <w:r w:rsidRPr="00354FA8">
        <w:rPr>
          <w:rFonts w:eastAsia="AdvGulliv-R"/>
          <w:position w:val="-10"/>
          <w:szCs w:val="24"/>
        </w:rPr>
        <w:object w:dxaOrig="740" w:dyaOrig="300">
          <v:shape id="_x0000_i1032" type="#_x0000_t75" style="width:37.05pt;height:15.05pt" o:ole="">
            <v:imagedata r:id="rId23" o:title=""/>
          </v:shape>
          <o:OLEObject Type="Embed" ProgID="Equation.DSMT4" ShapeID="_x0000_i1032" DrawAspect="Content" ObjectID="_1612205696" r:id="rId24"/>
        </w:object>
      </w:r>
      <w:r w:rsidRPr="00354FA8">
        <w:rPr>
          <w:rFonts w:eastAsia="AdvGulliv-R"/>
          <w:szCs w:val="24"/>
        </w:rPr>
        <w:t xml:space="preserve">, </w:t>
      </w:r>
      <w:r w:rsidRPr="00354FA8">
        <w:rPr>
          <w:rFonts w:eastAsia="AdvGulliv-R"/>
          <w:position w:val="-10"/>
          <w:szCs w:val="24"/>
        </w:rPr>
        <w:object w:dxaOrig="859" w:dyaOrig="300">
          <v:shape id="_x0000_i1033" type="#_x0000_t75" style="width:43pt;height:15.05pt" o:ole="">
            <v:imagedata r:id="rId25" o:title=""/>
          </v:shape>
          <o:OLEObject Type="Embed" ProgID="Equation.DSMT4" ShapeID="_x0000_i1033" DrawAspect="Content" ObjectID="_1612205697" r:id="rId26"/>
        </w:object>
      </w:r>
      <w:r w:rsidRPr="00354FA8">
        <w:rPr>
          <w:rFonts w:eastAsia="AdvGulliv-R"/>
          <w:szCs w:val="24"/>
        </w:rPr>
        <w:t>,</w:t>
      </w:r>
      <w:r w:rsidRPr="00354FA8">
        <w:rPr>
          <w:rFonts w:eastAsia="AdvGulliv-R"/>
          <w:position w:val="-10"/>
          <w:szCs w:val="24"/>
        </w:rPr>
        <w:object w:dxaOrig="840" w:dyaOrig="300">
          <v:shape id="_x0000_i1034" type="#_x0000_t75" style="width:40.85pt;height:15.05pt" o:ole="">
            <v:imagedata r:id="rId27" o:title=""/>
          </v:shape>
          <o:OLEObject Type="Embed" ProgID="Equation.DSMT4" ShapeID="_x0000_i1034" DrawAspect="Content" ObjectID="_1612205698" r:id="rId28"/>
        </w:object>
      </w:r>
      <w:r w:rsidRPr="00354FA8">
        <w:rPr>
          <w:rFonts w:eastAsia="AdvGulliv-R"/>
          <w:szCs w:val="24"/>
        </w:rPr>
        <w:t>,</w:t>
      </w:r>
      <w:r w:rsidRPr="00354FA8">
        <w:rPr>
          <w:rFonts w:eastAsia="AdvGulliv-R"/>
          <w:position w:val="-12"/>
          <w:szCs w:val="24"/>
        </w:rPr>
        <w:object w:dxaOrig="1800" w:dyaOrig="340">
          <v:shape id="_x0000_i1035" type="#_x0000_t75" style="width:89.2pt;height:17.75pt" o:ole="">
            <v:imagedata r:id="rId29" o:title=""/>
          </v:shape>
          <o:OLEObject Type="Embed" ProgID="Equation.DSMT4" ShapeID="_x0000_i1035" DrawAspect="Content" ObjectID="_1612205699" r:id="rId30"/>
        </w:object>
      </w:r>
      <w:r w:rsidRPr="00354FA8">
        <w:rPr>
          <w:rFonts w:eastAsia="AdvGulliv-R"/>
          <w:szCs w:val="24"/>
        </w:rPr>
        <w:t xml:space="preserve">, </w:t>
      </w:r>
      <w:r w:rsidRPr="00354FA8">
        <w:rPr>
          <w:rFonts w:eastAsia="AdvGulliv-R"/>
          <w:position w:val="-10"/>
          <w:szCs w:val="24"/>
        </w:rPr>
        <w:object w:dxaOrig="1180" w:dyaOrig="320">
          <v:shape id="_x0000_i1036" type="#_x0000_t75" style="width:58.55pt;height:16.65pt" o:ole="">
            <v:imagedata r:id="rId31" o:title=""/>
          </v:shape>
          <o:OLEObject Type="Embed" ProgID="Equation.DSMT4" ShapeID="_x0000_i1036" DrawAspect="Content" ObjectID="_1612205700" r:id="rId32"/>
        </w:object>
      </w:r>
      <w:r w:rsidRPr="00354FA8">
        <w:rPr>
          <w:rFonts w:eastAsia="AdvGulliv-R"/>
          <w:szCs w:val="24"/>
        </w:rPr>
        <w:t>,</w:t>
      </w:r>
      <w:r w:rsidRPr="00354FA8">
        <w:rPr>
          <w:rFonts w:eastAsia="AdvGulliv-R"/>
          <w:position w:val="-10"/>
          <w:szCs w:val="24"/>
        </w:rPr>
        <w:object w:dxaOrig="2140" w:dyaOrig="320">
          <v:shape id="_x0000_i1037" type="#_x0000_t75" style="width:106.95pt;height:15.6pt" o:ole="">
            <v:imagedata r:id="rId33" o:title=""/>
          </v:shape>
          <o:OLEObject Type="Embed" ProgID="Equation.DSMT4" ShapeID="_x0000_i1037" DrawAspect="Content" ObjectID="_1612205701" r:id="rId34"/>
        </w:object>
      </w:r>
      <w:r w:rsidRPr="00354FA8">
        <w:rPr>
          <w:rFonts w:eastAsia="AdvGulliv-R"/>
          <w:szCs w:val="24"/>
        </w:rPr>
        <w:t xml:space="preserve">, </w:t>
      </w:r>
      <w:r w:rsidRPr="00354FA8">
        <w:rPr>
          <w:rFonts w:eastAsia="AdvGulliv-R"/>
          <w:position w:val="-24"/>
          <w:szCs w:val="24"/>
        </w:rPr>
        <w:object w:dxaOrig="900" w:dyaOrig="620">
          <v:shape id="_x0000_i1038" type="#_x0000_t75" style="width:40.3pt;height:27.95pt" o:ole="">
            <v:imagedata r:id="rId35" o:title=""/>
          </v:shape>
          <o:OLEObject Type="Embed" ProgID="Equation.3" ShapeID="_x0000_i1038" DrawAspect="Content" ObjectID="_1612205702" r:id="rId36"/>
        </w:object>
      </w:r>
      <w:r w:rsidRPr="00354FA8">
        <w:rPr>
          <w:rFonts w:eastAsia="AdvGulliv-R"/>
          <w:position w:val="-10"/>
          <w:szCs w:val="24"/>
        </w:rPr>
        <w:object w:dxaOrig="800" w:dyaOrig="300">
          <v:shape id="_x0000_i1039" type="#_x0000_t75" style="width:40.3pt;height:15.05pt" o:ole="">
            <v:imagedata r:id="rId37" o:title=""/>
          </v:shape>
          <o:OLEObject Type="Embed" ProgID="Equation.DSMT4" ShapeID="_x0000_i1039" DrawAspect="Content" ObjectID="_1612205703" r:id="rId38"/>
        </w:object>
      </w:r>
      <w:r w:rsidRPr="00354FA8">
        <w:rPr>
          <w:rFonts w:eastAsia="AdvGulliv-R"/>
          <w:szCs w:val="24"/>
        </w:rPr>
        <w:t xml:space="preserve"> where, L is the length of the enclosure, U and V are the dimensionless velocities in x and y</w:t>
      </w:r>
      <w:r w:rsidRPr="00F969B3">
        <w:rPr>
          <w:rFonts w:eastAsia="AdvGulliv-R"/>
          <w:szCs w:val="24"/>
        </w:rPr>
        <w:t xml:space="preserve"> </w:t>
      </w:r>
      <w:r w:rsidRPr="00354FA8">
        <w:rPr>
          <w:rFonts w:eastAsia="AdvGulliv-R"/>
          <w:szCs w:val="24"/>
        </w:rPr>
        <w:t xml:space="preserve">directions, respectively, </w:t>
      </w:r>
      <w:r w:rsidRPr="00354FA8">
        <w:rPr>
          <w:rFonts w:eastAsia="AdvGulliv-R"/>
          <w:position w:val="-6"/>
          <w:szCs w:val="24"/>
        </w:rPr>
        <w:object w:dxaOrig="220" w:dyaOrig="200">
          <v:shape id="_x0000_i1040" type="#_x0000_t75" style="width:11.3pt;height:9.65pt" o:ole="">
            <v:imagedata r:id="rId39" o:title=""/>
          </v:shape>
          <o:OLEObject Type="Embed" ProgID="Equation.DSMT4" ShapeID="_x0000_i1040" DrawAspect="Content" ObjectID="_1612205704" r:id="rId40"/>
        </w:object>
      </w:r>
      <w:r w:rsidRPr="00354FA8">
        <w:rPr>
          <w:rFonts w:eastAsia="AdvGulliv-R"/>
          <w:szCs w:val="24"/>
        </w:rPr>
        <w:t xml:space="preserve">is the thermal diffusivity, P is the dimensionless pressure, </w:t>
      </w:r>
      <w:r w:rsidRPr="00354FA8">
        <w:rPr>
          <w:rFonts w:eastAsia="AdvGulliv-R"/>
          <w:szCs w:val="24"/>
        </w:rPr>
        <w:sym w:font="Symbol" w:char="F072"/>
      </w:r>
      <w:r w:rsidRPr="00354FA8">
        <w:rPr>
          <w:rFonts w:eastAsia="AdvGulliv-R"/>
          <w:szCs w:val="24"/>
        </w:rPr>
        <w:t xml:space="preserve"> is the density of fluid, g is gravitational acceleration,</w:t>
      </w:r>
      <w:r w:rsidRPr="00354FA8">
        <w:rPr>
          <w:rFonts w:eastAsia="AdvGulliv-R"/>
          <w:position w:val="-10"/>
          <w:szCs w:val="24"/>
        </w:rPr>
        <w:object w:dxaOrig="220" w:dyaOrig="279">
          <v:shape id="_x0000_i1041" type="#_x0000_t75" style="width:11.3pt;height:14.5pt" o:ole="">
            <v:imagedata r:id="rId41" o:title=""/>
          </v:shape>
          <o:OLEObject Type="Embed" ProgID="Equation.DSMT4" ShapeID="_x0000_i1041" DrawAspect="Content" ObjectID="_1612205705" r:id="rId42"/>
        </w:object>
      </w:r>
      <w:r w:rsidRPr="00354FA8">
        <w:rPr>
          <w:rFonts w:eastAsia="AdvGulliv-R"/>
          <w:szCs w:val="24"/>
        </w:rPr>
        <w:t xml:space="preserve">  is volumetric thermal expansion coefficient, </w:t>
      </w:r>
      <w:r w:rsidRPr="00354FA8">
        <w:rPr>
          <w:rFonts w:eastAsia="AdvGulliv-R"/>
          <w:position w:val="-6"/>
          <w:szCs w:val="24"/>
        </w:rPr>
        <w:object w:dxaOrig="180" w:dyaOrig="200">
          <v:shape id="_x0000_i1042" type="#_x0000_t75" style="width:9.65pt;height:9.65pt" o:ole="">
            <v:imagedata r:id="rId43" o:title=""/>
          </v:shape>
          <o:OLEObject Type="Embed" ProgID="Equation.DSMT4" ShapeID="_x0000_i1042" DrawAspect="Content" ObjectID="_1612205706" r:id="rId44"/>
        </w:object>
      </w:r>
      <w:r w:rsidRPr="00354FA8">
        <w:rPr>
          <w:rFonts w:eastAsia="AdvGulliv-R"/>
          <w:szCs w:val="24"/>
        </w:rPr>
        <w:t xml:space="preserve"> is </w:t>
      </w:r>
      <w:r w:rsidRPr="001B13D8">
        <w:rPr>
          <w:rFonts w:eastAsia="AdvGulliv-R"/>
          <w:color w:val="000000" w:themeColor="text1"/>
          <w:szCs w:val="24"/>
        </w:rPr>
        <w:t>kinematic</w:t>
      </w:r>
      <w:r w:rsidRPr="00354FA8">
        <w:rPr>
          <w:rFonts w:eastAsia="AdvGulliv-R"/>
          <w:szCs w:val="24"/>
        </w:rPr>
        <w:t xml:space="preserve"> viscosity, Pr is Prandtl number and Ra is Rayleigh number. </w:t>
      </w:r>
    </w:p>
    <w:p w:rsidR="00F969B3" w:rsidRPr="00354FA8" w:rsidRDefault="00F969B3" w:rsidP="00F969B3">
      <w:pPr>
        <w:rPr>
          <w:szCs w:val="24"/>
        </w:rPr>
      </w:pPr>
      <w:r w:rsidRPr="00354FA8">
        <w:rPr>
          <w:bCs/>
          <w:szCs w:val="24"/>
        </w:rPr>
        <w:lastRenderedPageBreak/>
        <w:t xml:space="preserve">The boundary conditions employed </w:t>
      </w:r>
      <w:r w:rsidRPr="00354FA8">
        <w:rPr>
          <w:bCs/>
          <w:szCs w:val="24"/>
          <w:lang w:val="en-US"/>
        </w:rPr>
        <w:t>for the solution Eqs. (1)–(4) are as follows:</w:t>
      </w:r>
    </w:p>
    <w:p w:rsidR="00F969B3" w:rsidRPr="00354FA8" w:rsidRDefault="00F969B3" w:rsidP="00F969B3">
      <w:pPr>
        <w:rPr>
          <w:szCs w:val="24"/>
          <w:lang w:val="en-US"/>
        </w:rPr>
      </w:pPr>
      <w:r w:rsidRPr="00354FA8">
        <w:rPr>
          <w:position w:val="-6"/>
          <w:szCs w:val="24"/>
          <w:lang w:val="en-US"/>
        </w:rPr>
        <w:object w:dxaOrig="880" w:dyaOrig="240">
          <v:shape id="_x0000_i1043" type="#_x0000_t75" style="width:43.5pt;height:12.35pt" o:ole="">
            <v:imagedata r:id="rId45" o:title=""/>
          </v:shape>
          <o:OLEObject Type="Embed" ProgID="Equation.DSMT4" ShapeID="_x0000_i1043" DrawAspect="Content" ObjectID="_1612205707" r:id="rId46"/>
        </w:object>
      </w:r>
      <w:r w:rsidRPr="00354FA8">
        <w:rPr>
          <w:szCs w:val="24"/>
          <w:lang w:val="en-US"/>
        </w:rPr>
        <w:t>,</w:t>
      </w:r>
      <w:r w:rsidRPr="00354FA8">
        <w:rPr>
          <w:position w:val="-24"/>
          <w:szCs w:val="24"/>
          <w:lang w:val="en-US"/>
        </w:rPr>
        <w:object w:dxaOrig="1939" w:dyaOrig="620">
          <v:shape id="_x0000_i1044" type="#_x0000_t75" style="width:87.6pt;height:28.5pt" o:ole="">
            <v:imagedata r:id="rId47" o:title=""/>
          </v:shape>
          <o:OLEObject Type="Embed" ProgID="Equation.3" ShapeID="_x0000_i1044" DrawAspect="Content" ObjectID="_1612205708" r:id="rId48"/>
        </w:object>
      </w:r>
      <w:r w:rsidRPr="00354FA8">
        <w:rPr>
          <w:szCs w:val="24"/>
          <w:lang w:val="en-US"/>
        </w:rPr>
        <w:t xml:space="preserve"> (along AB)                                                                    (</w:t>
      </w:r>
      <w:r>
        <w:rPr>
          <w:szCs w:val="24"/>
          <w:lang w:val="en-US"/>
        </w:rPr>
        <w:t>6</w:t>
      </w:r>
      <w:r w:rsidRPr="00354FA8">
        <w:rPr>
          <w:szCs w:val="24"/>
          <w:lang w:val="en-US"/>
        </w:rPr>
        <w:t xml:space="preserve">a)                                                                                                                                                                                                                                                                                        </w:t>
      </w:r>
    </w:p>
    <w:p w:rsidR="00F969B3" w:rsidRPr="00354FA8" w:rsidRDefault="00F969B3" w:rsidP="00F969B3">
      <w:pPr>
        <w:rPr>
          <w:szCs w:val="24"/>
          <w:lang w:val="en-US"/>
        </w:rPr>
      </w:pPr>
      <w:r w:rsidRPr="00354FA8">
        <w:rPr>
          <w:position w:val="-6"/>
          <w:szCs w:val="24"/>
          <w:lang w:val="en-US"/>
        </w:rPr>
        <w:object w:dxaOrig="880" w:dyaOrig="240">
          <v:shape id="_x0000_i1045" type="#_x0000_t75" style="width:43.5pt;height:12.35pt" o:ole="">
            <v:imagedata r:id="rId45" o:title=""/>
          </v:shape>
          <o:OLEObject Type="Embed" ProgID="Equation.DSMT4" ShapeID="_x0000_i1045" DrawAspect="Content" ObjectID="_1612205709" r:id="rId49"/>
        </w:object>
      </w:r>
      <w:r w:rsidRPr="00354FA8">
        <w:rPr>
          <w:szCs w:val="24"/>
          <w:lang w:val="en-US"/>
        </w:rPr>
        <w:t xml:space="preserve">, </w:t>
      </w:r>
      <w:r w:rsidRPr="00354FA8">
        <w:rPr>
          <w:position w:val="-6"/>
          <w:szCs w:val="24"/>
          <w:lang w:val="en-US"/>
        </w:rPr>
        <w:object w:dxaOrig="499" w:dyaOrig="240">
          <v:shape id="_x0000_i1046" type="#_x0000_t75" style="width:25.25pt;height:12.35pt" o:ole="">
            <v:imagedata r:id="rId50" o:title=""/>
          </v:shape>
          <o:OLEObject Type="Embed" ProgID="Equation.DSMT4" ShapeID="_x0000_i1046" DrawAspect="Content" ObjectID="_1612205710" r:id="rId51"/>
        </w:object>
      </w:r>
      <w:r w:rsidRPr="00354FA8">
        <w:rPr>
          <w:szCs w:val="24"/>
          <w:lang w:val="en-US"/>
        </w:rPr>
        <w:t xml:space="preserve"> (along </w:t>
      </w:r>
      <w:r>
        <w:rPr>
          <w:szCs w:val="24"/>
          <w:lang w:val="en-US"/>
        </w:rPr>
        <w:t>AE</w:t>
      </w:r>
      <w:r w:rsidRPr="00354FA8">
        <w:rPr>
          <w:szCs w:val="24"/>
          <w:lang w:val="en-US"/>
        </w:rPr>
        <w:t>)                                                                                        (</w:t>
      </w:r>
      <w:r>
        <w:rPr>
          <w:szCs w:val="24"/>
          <w:lang w:val="en-US"/>
        </w:rPr>
        <w:t>6</w:t>
      </w:r>
      <w:r w:rsidRPr="00354FA8">
        <w:rPr>
          <w:szCs w:val="24"/>
          <w:lang w:val="en-US"/>
        </w:rPr>
        <w:t xml:space="preserve">b)                                                                                                                                                                                                                              </w:t>
      </w:r>
    </w:p>
    <w:p w:rsidR="00F969B3" w:rsidRPr="00354FA8" w:rsidRDefault="00F969B3" w:rsidP="00F969B3">
      <w:pPr>
        <w:rPr>
          <w:szCs w:val="24"/>
          <w:lang w:val="en-US"/>
        </w:rPr>
      </w:pPr>
      <w:r w:rsidRPr="00354FA8">
        <w:rPr>
          <w:position w:val="-6"/>
          <w:szCs w:val="24"/>
          <w:lang w:val="en-US"/>
        </w:rPr>
        <w:object w:dxaOrig="880" w:dyaOrig="240">
          <v:shape id="_x0000_i1047" type="#_x0000_t75" style="width:43.5pt;height:12.35pt" o:ole="">
            <v:imagedata r:id="rId45" o:title=""/>
          </v:shape>
          <o:OLEObject Type="Embed" ProgID="Equation.DSMT4" ShapeID="_x0000_i1047" DrawAspect="Content" ObjectID="_1612205711" r:id="rId52"/>
        </w:object>
      </w:r>
      <w:r w:rsidRPr="00354FA8">
        <w:rPr>
          <w:szCs w:val="24"/>
          <w:lang w:val="en-US"/>
        </w:rPr>
        <w:t>,</w:t>
      </w:r>
      <w:r w:rsidRPr="00354FA8">
        <w:rPr>
          <w:position w:val="-6"/>
          <w:szCs w:val="24"/>
          <w:lang w:val="en-US"/>
        </w:rPr>
        <w:object w:dxaOrig="499" w:dyaOrig="240">
          <v:shape id="_x0000_i1048" type="#_x0000_t75" style="width:25.25pt;height:12.35pt" o:ole="">
            <v:imagedata r:id="rId50" o:title=""/>
          </v:shape>
          <o:OLEObject Type="Embed" ProgID="Equation.DSMT4" ShapeID="_x0000_i1048" DrawAspect="Content" ObjectID="_1612205712" r:id="rId53"/>
        </w:object>
      </w:r>
      <w:r w:rsidRPr="00354FA8">
        <w:rPr>
          <w:szCs w:val="24"/>
          <w:lang w:val="en-US"/>
        </w:rPr>
        <w:t xml:space="preserve"> (along </w:t>
      </w:r>
      <w:r>
        <w:rPr>
          <w:szCs w:val="24"/>
          <w:lang w:val="en-US"/>
        </w:rPr>
        <w:t>ED</w:t>
      </w:r>
      <w:r w:rsidRPr="00354FA8">
        <w:rPr>
          <w:szCs w:val="24"/>
          <w:lang w:val="en-US"/>
        </w:rPr>
        <w:t>)                                                                                         (</w:t>
      </w:r>
      <w:r>
        <w:rPr>
          <w:szCs w:val="24"/>
          <w:lang w:val="en-US"/>
        </w:rPr>
        <w:t>6</w:t>
      </w:r>
      <w:r w:rsidRPr="00354FA8">
        <w:rPr>
          <w:szCs w:val="24"/>
          <w:lang w:val="en-US"/>
        </w:rPr>
        <w:t xml:space="preserve">c)                                                                                                                                                                                                                               </w:t>
      </w:r>
    </w:p>
    <w:p w:rsidR="00F969B3" w:rsidRDefault="00F969B3" w:rsidP="00F969B3">
      <w:pPr>
        <w:ind w:firstLine="397"/>
        <w:contextualSpacing/>
        <w:mirrorIndents/>
        <w:rPr>
          <w:szCs w:val="24"/>
          <w:lang w:val="en-US"/>
        </w:rPr>
      </w:pPr>
      <w:r w:rsidRPr="001B13D8">
        <w:rPr>
          <w:color w:val="FF0000"/>
          <w:position w:val="-6"/>
          <w:szCs w:val="24"/>
          <w:lang w:val="en-US"/>
        </w:rPr>
        <w:object w:dxaOrig="880" w:dyaOrig="240">
          <v:shape id="_x0000_i1049" type="#_x0000_t75" style="width:43.5pt;height:12.35pt" o:ole="">
            <v:imagedata r:id="rId45" o:title=""/>
          </v:shape>
          <o:OLEObject Type="Embed" ProgID="Equation.DSMT4" ShapeID="_x0000_i1049" DrawAspect="Content" ObjectID="_1612205713" r:id="rId54"/>
        </w:object>
      </w:r>
      <w:r w:rsidRPr="001B13D8">
        <w:rPr>
          <w:color w:val="000000" w:themeColor="text1"/>
          <w:szCs w:val="24"/>
          <w:lang w:val="en-US"/>
        </w:rPr>
        <w:t xml:space="preserve">, </w:t>
      </w:r>
      <w:r w:rsidRPr="001B13D8">
        <w:rPr>
          <w:color w:val="000000" w:themeColor="text1"/>
          <w:position w:val="-6"/>
          <w:szCs w:val="24"/>
        </w:rPr>
        <w:object w:dxaOrig="920" w:dyaOrig="279">
          <v:shape id="_x0000_i1050" type="#_x0000_t75" style="width:46.75pt;height:15.05pt" o:ole="">
            <v:imagedata r:id="rId55" o:title=""/>
          </v:shape>
          <o:OLEObject Type="Embed" ProgID="Equation.DSMT4" ShapeID="_x0000_i1050" DrawAspect="Content" ObjectID="_1612205714" r:id="rId56"/>
        </w:object>
      </w:r>
      <w:r w:rsidRPr="001B13D8">
        <w:rPr>
          <w:color w:val="000000" w:themeColor="text1"/>
          <w:szCs w:val="24"/>
          <w:lang w:val="en-US"/>
        </w:rPr>
        <w:t xml:space="preserve"> (along CD, BC)             </w:t>
      </w:r>
      <w:r w:rsidRPr="001B13D8">
        <w:rPr>
          <w:szCs w:val="24"/>
          <w:lang w:val="en-US"/>
        </w:rPr>
        <w:t xml:space="preserve">                                                          </w:t>
      </w:r>
      <w:r>
        <w:rPr>
          <w:szCs w:val="24"/>
          <w:lang w:val="en-US"/>
        </w:rPr>
        <w:t xml:space="preserve">    </w:t>
      </w:r>
      <w:r w:rsidRPr="001B13D8">
        <w:rPr>
          <w:szCs w:val="24"/>
          <w:lang w:val="en-US"/>
        </w:rPr>
        <w:t xml:space="preserve">  </w:t>
      </w:r>
      <w:r w:rsidRPr="00354FA8">
        <w:rPr>
          <w:szCs w:val="24"/>
          <w:lang w:val="en-US"/>
        </w:rPr>
        <w:t>(</w:t>
      </w:r>
      <w:r>
        <w:rPr>
          <w:szCs w:val="24"/>
          <w:lang w:val="en-US"/>
        </w:rPr>
        <w:t>6</w:t>
      </w:r>
      <w:r w:rsidRPr="00354FA8">
        <w:rPr>
          <w:szCs w:val="24"/>
          <w:lang w:val="en-US"/>
        </w:rPr>
        <w:t xml:space="preserve">d) </w:t>
      </w:r>
    </w:p>
    <w:p w:rsidR="006044B0" w:rsidRPr="00205179" w:rsidRDefault="00F969B3" w:rsidP="00F969B3">
      <w:pPr>
        <w:ind w:firstLine="397"/>
        <w:contextualSpacing/>
        <w:mirrorIndents/>
        <w:rPr>
          <w:szCs w:val="24"/>
        </w:rPr>
      </w:pPr>
      <w:r w:rsidRPr="00354FA8">
        <w:rPr>
          <w:szCs w:val="24"/>
          <w:lang w:val="en-US"/>
        </w:rPr>
        <w:t xml:space="preserve">                                                                                                                                                                                                                    </w:t>
      </w:r>
    </w:p>
    <w:p w:rsidR="007C635C" w:rsidRPr="00EA3DFD" w:rsidRDefault="00F969B3" w:rsidP="00F969B3">
      <w:pPr>
        <w:ind w:left="720" w:firstLine="0"/>
        <w:mirrorIndents/>
        <w:rPr>
          <w:rFonts w:ascii="Arial" w:hAnsi="Arial" w:cs="Arial"/>
          <w:b/>
          <w:color w:val="002060"/>
          <w:sz w:val="12"/>
          <w:szCs w:val="24"/>
        </w:rPr>
      </w:pPr>
      <w:r w:rsidRPr="00EA3DFD">
        <w:rPr>
          <w:rFonts w:ascii="Arial" w:hAnsi="Arial" w:cs="Arial"/>
          <w:b/>
          <w:color w:val="002060"/>
          <w:szCs w:val="24"/>
        </w:rPr>
        <w:t>2.</w:t>
      </w:r>
      <w:r w:rsidR="00942EA6" w:rsidRPr="00EA3DFD">
        <w:rPr>
          <w:rFonts w:ascii="Arial" w:hAnsi="Arial" w:cs="Arial"/>
          <w:b/>
          <w:color w:val="002060"/>
          <w:szCs w:val="24"/>
        </w:rPr>
        <w:t xml:space="preserve">1. </w:t>
      </w:r>
      <w:r w:rsidRPr="00EA3DFD">
        <w:rPr>
          <w:rFonts w:ascii="Arial" w:hAnsi="Arial" w:cs="Arial"/>
          <w:b/>
          <w:color w:val="002060"/>
          <w:szCs w:val="24"/>
        </w:rPr>
        <w:t>Nusselt Number</w:t>
      </w:r>
    </w:p>
    <w:p w:rsidR="00F969B3" w:rsidRPr="00354FA8" w:rsidRDefault="00F969B3" w:rsidP="00F969B3">
      <w:pPr>
        <w:autoSpaceDE w:val="0"/>
        <w:autoSpaceDN w:val="0"/>
        <w:adjustRightInd w:val="0"/>
        <w:rPr>
          <w:rFonts w:eastAsia="MinionPro-Regular"/>
          <w:color w:val="000000"/>
          <w:szCs w:val="24"/>
        </w:rPr>
      </w:pPr>
      <w:r w:rsidRPr="00354FA8">
        <w:rPr>
          <w:rFonts w:eastAsia="MinionPro-Regular"/>
          <w:color w:val="000000"/>
          <w:szCs w:val="24"/>
        </w:rPr>
        <w:t>It is important to recognize that the Nusselt number is a dimensionless measure of the convective heatflux and is evaluated from the solution of the temperature field. The local Nusselt number along any</w:t>
      </w:r>
      <w:r>
        <w:rPr>
          <w:rFonts w:eastAsia="MinionPro-Regular"/>
          <w:color w:val="000000"/>
          <w:szCs w:val="24"/>
        </w:rPr>
        <w:t xml:space="preserve"> </w:t>
      </w:r>
      <w:r w:rsidRPr="00354FA8">
        <w:rPr>
          <w:rFonts w:eastAsia="MinionPro-Regular"/>
          <w:color w:val="000000"/>
          <w:szCs w:val="24"/>
        </w:rPr>
        <w:t>surface can be obtained as follows:</w:t>
      </w:r>
    </w:p>
    <w:p w:rsidR="00F969B3" w:rsidRPr="00354FA8" w:rsidRDefault="00F969B3" w:rsidP="00F969B3">
      <w:pPr>
        <w:autoSpaceDE w:val="0"/>
        <w:autoSpaceDN w:val="0"/>
        <w:adjustRightInd w:val="0"/>
        <w:rPr>
          <w:rFonts w:eastAsia="AdvGulliv-R"/>
          <w:szCs w:val="24"/>
        </w:rPr>
      </w:pPr>
      <w:r w:rsidRPr="00354FA8">
        <w:rPr>
          <w:rFonts w:eastAsiaTheme="minorHAnsi"/>
          <w:b/>
          <w:position w:val="-24"/>
          <w:szCs w:val="24"/>
        </w:rPr>
        <w:object w:dxaOrig="1100" w:dyaOrig="620">
          <v:shape id="_x0000_i1051" type="#_x0000_t75" style="width:54.25pt;height:31.15pt" o:ole="">
            <v:imagedata r:id="rId57" o:title=""/>
          </v:shape>
          <o:OLEObject Type="Embed" ProgID="Equation.3" ShapeID="_x0000_i1051" DrawAspect="Content" ObjectID="_1612205715" r:id="rId58"/>
        </w:object>
      </w:r>
      <w:r w:rsidRPr="00354FA8">
        <w:rPr>
          <w:rFonts w:eastAsia="AdvGulliv-R"/>
          <w:szCs w:val="24"/>
        </w:rPr>
        <w:t xml:space="preserve">where n denotes the normal direction on a plane. </w:t>
      </w:r>
      <w:r>
        <w:rPr>
          <w:rFonts w:eastAsia="AdvGulliv-R"/>
          <w:szCs w:val="24"/>
        </w:rPr>
        <w:t xml:space="preserve">                                         [7]</w:t>
      </w:r>
      <w:r w:rsidRPr="00354FA8">
        <w:rPr>
          <w:rFonts w:eastAsia="AdvGulliv-R"/>
          <w:szCs w:val="24"/>
        </w:rPr>
        <w:t xml:space="preserve">                                                                                                   </w:t>
      </w:r>
    </w:p>
    <w:p w:rsidR="00F969B3" w:rsidRPr="00354FA8" w:rsidRDefault="00F969B3" w:rsidP="00F969B3">
      <w:pPr>
        <w:autoSpaceDE w:val="0"/>
        <w:autoSpaceDN w:val="0"/>
        <w:adjustRightInd w:val="0"/>
        <w:rPr>
          <w:rFonts w:eastAsia="AdvGulliv-R"/>
          <w:szCs w:val="24"/>
        </w:rPr>
      </w:pPr>
      <w:r w:rsidRPr="00354FA8">
        <w:rPr>
          <w:rFonts w:eastAsia="AdvGulliv-R"/>
          <w:szCs w:val="24"/>
        </w:rPr>
        <w:t>The average Nusselt number at the bottom and side walls are given by:</w:t>
      </w:r>
    </w:p>
    <w:p w:rsidR="00F969B3" w:rsidRPr="00354FA8" w:rsidRDefault="00F969B3" w:rsidP="00F969B3">
      <w:pPr>
        <w:autoSpaceDE w:val="0"/>
        <w:autoSpaceDN w:val="0"/>
        <w:adjustRightInd w:val="0"/>
        <w:rPr>
          <w:rFonts w:eastAsia="AdvGulliv-R"/>
          <w:szCs w:val="24"/>
        </w:rPr>
      </w:pPr>
      <w:r w:rsidRPr="00354FA8">
        <w:rPr>
          <w:rFonts w:eastAsia="AdvGulliv-R"/>
          <w:position w:val="-32"/>
          <w:szCs w:val="24"/>
        </w:rPr>
        <w:object w:dxaOrig="2680" w:dyaOrig="1100">
          <v:shape id="_x0000_i1052" type="#_x0000_t75" style="width:134.35pt;height:55.35pt" o:ole="">
            <v:imagedata r:id="rId59" o:title=""/>
          </v:shape>
          <o:OLEObject Type="Embed" ProgID="Equation.3" ShapeID="_x0000_i1052" DrawAspect="Content" ObjectID="_1612205716" r:id="rId60"/>
        </w:object>
      </w:r>
      <w:r w:rsidRPr="00354FA8">
        <w:rPr>
          <w:rFonts w:eastAsia="AdvGulliv-R"/>
          <w:szCs w:val="24"/>
        </w:rPr>
        <w:t xml:space="preserve">                                                                                           [</w:t>
      </w:r>
      <w:r>
        <w:rPr>
          <w:rFonts w:eastAsia="AdvGulliv-R"/>
          <w:szCs w:val="24"/>
        </w:rPr>
        <w:t>8</w:t>
      </w:r>
      <w:r w:rsidRPr="00354FA8">
        <w:rPr>
          <w:rFonts w:eastAsia="AdvGulliv-R"/>
          <w:szCs w:val="24"/>
        </w:rPr>
        <w:t>]</w:t>
      </w:r>
    </w:p>
    <w:p w:rsidR="00F969B3" w:rsidRPr="004C5C54" w:rsidRDefault="00F969B3" w:rsidP="00F969B3">
      <w:pPr>
        <w:ind w:firstLine="0"/>
        <w:rPr>
          <w:rFonts w:ascii="Arial" w:hAnsi="Arial" w:cs="Arial"/>
          <w:b/>
          <w:color w:val="002060"/>
          <w:szCs w:val="24"/>
        </w:rPr>
      </w:pPr>
      <w:r>
        <w:rPr>
          <w:rFonts w:ascii="Arial" w:hAnsi="Arial" w:cs="Arial"/>
          <w:b/>
          <w:color w:val="002060"/>
          <w:szCs w:val="24"/>
        </w:rPr>
        <w:t>3.</w:t>
      </w:r>
      <w:r w:rsidRPr="004C5C54">
        <w:rPr>
          <w:rFonts w:ascii="Arial" w:hAnsi="Arial" w:cs="Arial"/>
          <w:b/>
          <w:color w:val="002060"/>
          <w:szCs w:val="24"/>
        </w:rPr>
        <w:t>Numerical Solution Methodology and Model Validation</w:t>
      </w:r>
    </w:p>
    <w:p w:rsidR="00F969B3" w:rsidRPr="00354FA8" w:rsidRDefault="00F969B3" w:rsidP="00F969B3">
      <w:pPr>
        <w:autoSpaceDE w:val="0"/>
        <w:autoSpaceDN w:val="0"/>
        <w:adjustRightInd w:val="0"/>
        <w:rPr>
          <w:noProof/>
          <w:szCs w:val="24"/>
        </w:rPr>
      </w:pPr>
      <w:r w:rsidRPr="00354FA8">
        <w:rPr>
          <w:color w:val="000000"/>
          <w:szCs w:val="24"/>
        </w:rPr>
        <w:t xml:space="preserve">The finite element methodology has been adopted </w:t>
      </w:r>
      <w:r>
        <w:rPr>
          <w:color w:val="000000"/>
          <w:szCs w:val="24"/>
        </w:rPr>
        <w:t xml:space="preserve">for solving this paper </w:t>
      </w:r>
      <w:r w:rsidRPr="00354FA8">
        <w:rPr>
          <w:color w:val="000000"/>
          <w:szCs w:val="24"/>
        </w:rPr>
        <w:t>and this description of the methodology can be found in [6]. The Gauss’s quadrature method [6] is used to perform the integration. The Newton-Raphson technique is employed to solve the set of algebraic equations.</w:t>
      </w:r>
      <w:r w:rsidRPr="00354FA8">
        <w:rPr>
          <w:noProof/>
          <w:szCs w:val="24"/>
        </w:rPr>
        <w:t xml:space="preserve"> </w:t>
      </w:r>
    </w:p>
    <w:p w:rsidR="00F969B3" w:rsidRDefault="00F969B3" w:rsidP="00F969B3">
      <w:pPr>
        <w:autoSpaceDE w:val="0"/>
        <w:autoSpaceDN w:val="0"/>
        <w:adjustRightInd w:val="0"/>
        <w:rPr>
          <w:color w:val="000000"/>
          <w:szCs w:val="24"/>
        </w:rPr>
      </w:pPr>
      <w:r w:rsidRPr="00354FA8">
        <w:rPr>
          <w:noProof/>
          <w:szCs w:val="24"/>
        </w:rPr>
        <w:t>Further a  grid sensitivity analysis has be</w:t>
      </w:r>
      <w:r>
        <w:rPr>
          <w:noProof/>
          <w:szCs w:val="24"/>
        </w:rPr>
        <w:t>en performed to confirm that our numerical</w:t>
      </w:r>
      <w:r w:rsidRPr="00354FA8">
        <w:rPr>
          <w:noProof/>
          <w:szCs w:val="24"/>
        </w:rPr>
        <w:t xml:space="preserve"> results presented herein are independent of the grid used. Three different arrangements comprising of 2100, 5672 and 14726 elements have been considered for the analysis.</w:t>
      </w:r>
      <w:r w:rsidRPr="00354FA8">
        <w:rPr>
          <w:bCs/>
          <w:noProof/>
          <w:szCs w:val="24"/>
        </w:rPr>
        <w:t xml:space="preserve"> The details of grid independence tests can be referred in literature [7] and can befound in Table 1.</w:t>
      </w:r>
      <w:r>
        <w:rPr>
          <w:bCs/>
          <w:noProof/>
          <w:szCs w:val="24"/>
        </w:rPr>
        <w:t xml:space="preserve"> We proceed our numerical analysis with 5672 elements to save time and resources,because the change is less than 2% with further increase in finite elements(14726).</w:t>
      </w:r>
      <w:r w:rsidRPr="00354FA8">
        <w:rPr>
          <w:color w:val="000000"/>
          <w:szCs w:val="24"/>
        </w:rPr>
        <w:t xml:space="preserve"> </w:t>
      </w:r>
    </w:p>
    <w:p w:rsidR="00F969B3" w:rsidRDefault="00F969B3" w:rsidP="00F969B3">
      <w:pPr>
        <w:autoSpaceDE w:val="0"/>
        <w:autoSpaceDN w:val="0"/>
        <w:adjustRightInd w:val="0"/>
        <w:jc w:val="center"/>
        <w:rPr>
          <w:color w:val="000000"/>
          <w:szCs w:val="24"/>
        </w:rPr>
      </w:pPr>
      <w:r w:rsidRPr="00520E1A">
        <w:rPr>
          <w:color w:val="000000"/>
          <w:szCs w:val="24"/>
        </w:rPr>
        <w:t>Table 1: Grid independency</w:t>
      </w:r>
    </w:p>
    <w:p w:rsidR="00F969B3" w:rsidRPr="00520E1A" w:rsidRDefault="00F969B3" w:rsidP="00F969B3">
      <w:pPr>
        <w:autoSpaceDE w:val="0"/>
        <w:autoSpaceDN w:val="0"/>
        <w:adjustRightInd w:val="0"/>
        <w:jc w:val="center"/>
        <w:rPr>
          <w:color w:val="000000"/>
          <w:szCs w:val="24"/>
        </w:rPr>
      </w:pPr>
    </w:p>
    <w:tbl>
      <w:tblPr>
        <w:tblStyle w:val="TableGrid"/>
        <w:tblW w:w="0" w:type="auto"/>
        <w:jc w:val="center"/>
        <w:tblLook w:val="04A0"/>
      </w:tblPr>
      <w:tblGrid>
        <w:gridCol w:w="1486"/>
        <w:gridCol w:w="1487"/>
        <w:gridCol w:w="1487"/>
        <w:gridCol w:w="1487"/>
      </w:tblGrid>
      <w:tr w:rsidR="00F969B3" w:rsidRPr="00354FA8" w:rsidTr="00F969B3">
        <w:trPr>
          <w:trHeight w:val="154"/>
          <w:jc w:val="center"/>
        </w:trPr>
        <w:tc>
          <w:tcPr>
            <w:tcW w:w="1486" w:type="dxa"/>
          </w:tcPr>
          <w:p w:rsidR="00F969B3" w:rsidRPr="00354FA8" w:rsidRDefault="00F969B3" w:rsidP="00D113BB">
            <w:pPr>
              <w:rPr>
                <w:szCs w:val="24"/>
              </w:rPr>
            </w:pPr>
            <w:r w:rsidRPr="00354FA8">
              <w:rPr>
                <w:szCs w:val="24"/>
              </w:rPr>
              <w:t>Ra</w:t>
            </w:r>
          </w:p>
        </w:tc>
        <w:tc>
          <w:tcPr>
            <w:tcW w:w="1487" w:type="dxa"/>
          </w:tcPr>
          <w:p w:rsidR="00F969B3" w:rsidRPr="00354FA8" w:rsidRDefault="00F969B3" w:rsidP="00F969B3">
            <w:pPr>
              <w:jc w:val="center"/>
              <w:rPr>
                <w:szCs w:val="24"/>
              </w:rPr>
            </w:pPr>
            <w:r>
              <w:rPr>
                <w:szCs w:val="24"/>
              </w:rPr>
              <w:t>Nu</w:t>
            </w:r>
            <w:r w:rsidRPr="00520E1A">
              <w:rPr>
                <w:szCs w:val="24"/>
                <w:vertAlign w:val="subscript"/>
              </w:rPr>
              <w:t>avg</w:t>
            </w:r>
            <w:r>
              <w:rPr>
                <w:szCs w:val="24"/>
              </w:rPr>
              <w:t xml:space="preserve"> 2100</w:t>
            </w:r>
          </w:p>
        </w:tc>
        <w:tc>
          <w:tcPr>
            <w:tcW w:w="1487" w:type="dxa"/>
          </w:tcPr>
          <w:p w:rsidR="00F969B3" w:rsidRPr="00354FA8" w:rsidRDefault="00F969B3" w:rsidP="00F969B3">
            <w:pPr>
              <w:jc w:val="center"/>
              <w:rPr>
                <w:szCs w:val="24"/>
              </w:rPr>
            </w:pPr>
            <w:r>
              <w:rPr>
                <w:szCs w:val="24"/>
              </w:rPr>
              <w:t>Nu</w:t>
            </w:r>
            <w:r w:rsidRPr="00520E1A">
              <w:rPr>
                <w:szCs w:val="24"/>
                <w:vertAlign w:val="subscript"/>
              </w:rPr>
              <w:t>avg</w:t>
            </w:r>
            <w:r>
              <w:rPr>
                <w:szCs w:val="24"/>
              </w:rPr>
              <w:t xml:space="preserve"> 5672</w:t>
            </w:r>
          </w:p>
        </w:tc>
        <w:tc>
          <w:tcPr>
            <w:tcW w:w="1487" w:type="dxa"/>
          </w:tcPr>
          <w:p w:rsidR="00F969B3" w:rsidRPr="00520E1A" w:rsidRDefault="00F969B3" w:rsidP="00F969B3">
            <w:pPr>
              <w:jc w:val="center"/>
              <w:rPr>
                <w:szCs w:val="24"/>
              </w:rPr>
            </w:pPr>
            <w:r>
              <w:rPr>
                <w:szCs w:val="24"/>
              </w:rPr>
              <w:t>Nu</w:t>
            </w:r>
            <w:r w:rsidRPr="00520E1A">
              <w:rPr>
                <w:szCs w:val="24"/>
                <w:vertAlign w:val="subscript"/>
              </w:rPr>
              <w:t>avg</w:t>
            </w:r>
            <w:r>
              <w:rPr>
                <w:szCs w:val="24"/>
              </w:rPr>
              <w:t xml:space="preserve"> 14726</w:t>
            </w:r>
          </w:p>
        </w:tc>
      </w:tr>
      <w:tr w:rsidR="00F969B3" w:rsidRPr="00354FA8" w:rsidTr="00F969B3">
        <w:trPr>
          <w:trHeight w:val="154"/>
          <w:jc w:val="center"/>
        </w:trPr>
        <w:tc>
          <w:tcPr>
            <w:tcW w:w="1486" w:type="dxa"/>
          </w:tcPr>
          <w:p w:rsidR="00F969B3" w:rsidRPr="00354FA8" w:rsidRDefault="00F969B3" w:rsidP="00F969B3">
            <w:pPr>
              <w:ind w:firstLine="0"/>
              <w:rPr>
                <w:szCs w:val="24"/>
              </w:rPr>
            </w:pPr>
            <w:r w:rsidRPr="00354FA8">
              <w:rPr>
                <w:szCs w:val="24"/>
              </w:rPr>
              <w:t>1000000</w:t>
            </w:r>
          </w:p>
        </w:tc>
        <w:tc>
          <w:tcPr>
            <w:tcW w:w="1487" w:type="dxa"/>
          </w:tcPr>
          <w:p w:rsidR="00F969B3" w:rsidRPr="00354FA8" w:rsidRDefault="00F969B3" w:rsidP="00F969B3">
            <w:pPr>
              <w:ind w:firstLine="0"/>
              <w:rPr>
                <w:szCs w:val="24"/>
              </w:rPr>
            </w:pPr>
            <w:r w:rsidRPr="00354FA8">
              <w:rPr>
                <w:szCs w:val="24"/>
              </w:rPr>
              <w:t>4.3096</w:t>
            </w:r>
          </w:p>
        </w:tc>
        <w:tc>
          <w:tcPr>
            <w:tcW w:w="1487" w:type="dxa"/>
          </w:tcPr>
          <w:p w:rsidR="00F969B3" w:rsidRPr="00354FA8" w:rsidRDefault="00F969B3" w:rsidP="00F969B3">
            <w:pPr>
              <w:ind w:firstLine="0"/>
              <w:rPr>
                <w:szCs w:val="24"/>
              </w:rPr>
            </w:pPr>
            <w:r w:rsidRPr="00354FA8">
              <w:rPr>
                <w:szCs w:val="24"/>
              </w:rPr>
              <w:t>4.3196</w:t>
            </w:r>
          </w:p>
        </w:tc>
        <w:tc>
          <w:tcPr>
            <w:tcW w:w="1487" w:type="dxa"/>
          </w:tcPr>
          <w:p w:rsidR="00F969B3" w:rsidRPr="00354FA8" w:rsidRDefault="00F969B3" w:rsidP="00F969B3">
            <w:pPr>
              <w:jc w:val="center"/>
              <w:rPr>
                <w:szCs w:val="24"/>
              </w:rPr>
            </w:pPr>
            <w:r w:rsidRPr="00354FA8">
              <w:rPr>
                <w:szCs w:val="24"/>
              </w:rPr>
              <w:t>4.3462</w:t>
            </w:r>
          </w:p>
        </w:tc>
      </w:tr>
      <w:tr w:rsidR="00F969B3" w:rsidRPr="00354FA8" w:rsidTr="00F969B3">
        <w:trPr>
          <w:trHeight w:val="154"/>
          <w:jc w:val="center"/>
        </w:trPr>
        <w:tc>
          <w:tcPr>
            <w:tcW w:w="1486" w:type="dxa"/>
          </w:tcPr>
          <w:p w:rsidR="00F969B3" w:rsidRPr="00354FA8" w:rsidRDefault="00F969B3" w:rsidP="00F969B3">
            <w:pPr>
              <w:ind w:firstLine="0"/>
              <w:rPr>
                <w:szCs w:val="24"/>
              </w:rPr>
            </w:pPr>
            <w:r w:rsidRPr="00354FA8">
              <w:rPr>
                <w:szCs w:val="24"/>
              </w:rPr>
              <w:t>100000</w:t>
            </w:r>
          </w:p>
        </w:tc>
        <w:tc>
          <w:tcPr>
            <w:tcW w:w="1487" w:type="dxa"/>
          </w:tcPr>
          <w:p w:rsidR="00F969B3" w:rsidRPr="00354FA8" w:rsidRDefault="00F969B3" w:rsidP="00F969B3">
            <w:pPr>
              <w:ind w:firstLine="0"/>
              <w:rPr>
                <w:szCs w:val="24"/>
              </w:rPr>
            </w:pPr>
            <w:r w:rsidRPr="00354FA8">
              <w:rPr>
                <w:szCs w:val="24"/>
              </w:rPr>
              <w:t>2.4825</w:t>
            </w:r>
          </w:p>
        </w:tc>
        <w:tc>
          <w:tcPr>
            <w:tcW w:w="1487" w:type="dxa"/>
          </w:tcPr>
          <w:p w:rsidR="00F969B3" w:rsidRPr="00354FA8" w:rsidRDefault="00F969B3" w:rsidP="00F969B3">
            <w:pPr>
              <w:ind w:firstLine="0"/>
              <w:rPr>
                <w:szCs w:val="24"/>
              </w:rPr>
            </w:pPr>
            <w:r w:rsidRPr="00354FA8">
              <w:rPr>
                <w:szCs w:val="24"/>
              </w:rPr>
              <w:t>2.4836</w:t>
            </w:r>
          </w:p>
        </w:tc>
        <w:tc>
          <w:tcPr>
            <w:tcW w:w="1487" w:type="dxa"/>
          </w:tcPr>
          <w:p w:rsidR="00F969B3" w:rsidRPr="00354FA8" w:rsidRDefault="00F969B3" w:rsidP="00F969B3">
            <w:pPr>
              <w:jc w:val="center"/>
              <w:rPr>
                <w:szCs w:val="24"/>
              </w:rPr>
            </w:pPr>
            <w:r w:rsidRPr="00354FA8">
              <w:rPr>
                <w:szCs w:val="24"/>
              </w:rPr>
              <w:t>2.4943</w:t>
            </w:r>
          </w:p>
        </w:tc>
      </w:tr>
      <w:tr w:rsidR="00F969B3" w:rsidRPr="00354FA8" w:rsidTr="00F969B3">
        <w:trPr>
          <w:trHeight w:val="154"/>
          <w:jc w:val="center"/>
        </w:trPr>
        <w:tc>
          <w:tcPr>
            <w:tcW w:w="1486" w:type="dxa"/>
          </w:tcPr>
          <w:p w:rsidR="00F969B3" w:rsidRPr="00354FA8" w:rsidRDefault="00F969B3" w:rsidP="00F969B3">
            <w:pPr>
              <w:ind w:firstLine="0"/>
              <w:rPr>
                <w:szCs w:val="24"/>
              </w:rPr>
            </w:pPr>
            <w:r w:rsidRPr="00354FA8">
              <w:rPr>
                <w:szCs w:val="24"/>
              </w:rPr>
              <w:t>10000</w:t>
            </w:r>
          </w:p>
        </w:tc>
        <w:tc>
          <w:tcPr>
            <w:tcW w:w="1487" w:type="dxa"/>
          </w:tcPr>
          <w:p w:rsidR="00F969B3" w:rsidRPr="00354FA8" w:rsidRDefault="00F969B3" w:rsidP="00F969B3">
            <w:pPr>
              <w:ind w:firstLine="0"/>
              <w:rPr>
                <w:szCs w:val="24"/>
              </w:rPr>
            </w:pPr>
            <w:r w:rsidRPr="00354FA8">
              <w:rPr>
                <w:szCs w:val="24"/>
              </w:rPr>
              <w:t>0.99985</w:t>
            </w:r>
          </w:p>
        </w:tc>
        <w:tc>
          <w:tcPr>
            <w:tcW w:w="1487" w:type="dxa"/>
          </w:tcPr>
          <w:p w:rsidR="00F969B3" w:rsidRPr="00354FA8" w:rsidRDefault="00F969B3" w:rsidP="00F969B3">
            <w:pPr>
              <w:ind w:firstLine="0"/>
              <w:rPr>
                <w:szCs w:val="24"/>
              </w:rPr>
            </w:pPr>
            <w:r w:rsidRPr="00354FA8">
              <w:rPr>
                <w:szCs w:val="24"/>
              </w:rPr>
              <w:t>0.9992</w:t>
            </w:r>
          </w:p>
        </w:tc>
        <w:tc>
          <w:tcPr>
            <w:tcW w:w="1487" w:type="dxa"/>
          </w:tcPr>
          <w:p w:rsidR="00F969B3" w:rsidRPr="00354FA8" w:rsidRDefault="00F969B3" w:rsidP="00F969B3">
            <w:pPr>
              <w:jc w:val="center"/>
              <w:rPr>
                <w:szCs w:val="24"/>
              </w:rPr>
            </w:pPr>
            <w:r w:rsidRPr="00354FA8">
              <w:rPr>
                <w:szCs w:val="24"/>
              </w:rPr>
              <w:t>1.0031</w:t>
            </w:r>
          </w:p>
        </w:tc>
      </w:tr>
      <w:tr w:rsidR="00F969B3" w:rsidRPr="00354FA8" w:rsidTr="00F969B3">
        <w:trPr>
          <w:trHeight w:val="159"/>
          <w:jc w:val="center"/>
        </w:trPr>
        <w:tc>
          <w:tcPr>
            <w:tcW w:w="1486" w:type="dxa"/>
          </w:tcPr>
          <w:p w:rsidR="00F969B3" w:rsidRPr="00354FA8" w:rsidRDefault="00F969B3" w:rsidP="00F969B3">
            <w:pPr>
              <w:ind w:firstLine="0"/>
              <w:rPr>
                <w:szCs w:val="24"/>
              </w:rPr>
            </w:pPr>
            <w:r w:rsidRPr="00354FA8">
              <w:rPr>
                <w:szCs w:val="24"/>
              </w:rPr>
              <w:t>1000.0</w:t>
            </w:r>
          </w:p>
        </w:tc>
        <w:tc>
          <w:tcPr>
            <w:tcW w:w="1487" w:type="dxa"/>
          </w:tcPr>
          <w:p w:rsidR="00F969B3" w:rsidRPr="00354FA8" w:rsidRDefault="00F969B3" w:rsidP="00F969B3">
            <w:pPr>
              <w:ind w:firstLine="0"/>
              <w:rPr>
                <w:szCs w:val="24"/>
              </w:rPr>
            </w:pPr>
            <w:r w:rsidRPr="00354FA8">
              <w:rPr>
                <w:szCs w:val="24"/>
              </w:rPr>
              <w:t>0.86167</w:t>
            </w:r>
          </w:p>
        </w:tc>
        <w:tc>
          <w:tcPr>
            <w:tcW w:w="1487" w:type="dxa"/>
          </w:tcPr>
          <w:p w:rsidR="00F969B3" w:rsidRPr="00354FA8" w:rsidRDefault="00F969B3" w:rsidP="00F969B3">
            <w:pPr>
              <w:ind w:firstLine="0"/>
              <w:rPr>
                <w:szCs w:val="24"/>
              </w:rPr>
            </w:pPr>
            <w:r w:rsidRPr="00354FA8">
              <w:rPr>
                <w:szCs w:val="24"/>
              </w:rPr>
              <w:t>0.8609</w:t>
            </w:r>
          </w:p>
        </w:tc>
        <w:tc>
          <w:tcPr>
            <w:tcW w:w="1487" w:type="dxa"/>
          </w:tcPr>
          <w:p w:rsidR="00F969B3" w:rsidRPr="00354FA8" w:rsidRDefault="00F969B3" w:rsidP="00F969B3">
            <w:pPr>
              <w:jc w:val="center"/>
              <w:rPr>
                <w:szCs w:val="24"/>
              </w:rPr>
            </w:pPr>
            <w:r w:rsidRPr="00354FA8">
              <w:rPr>
                <w:szCs w:val="24"/>
              </w:rPr>
              <w:t>0.8641</w:t>
            </w:r>
          </w:p>
        </w:tc>
      </w:tr>
    </w:tbl>
    <w:p w:rsidR="00EA3DFD" w:rsidRDefault="00EA3DFD" w:rsidP="00F969B3">
      <w:pPr>
        <w:autoSpaceDE w:val="0"/>
        <w:autoSpaceDN w:val="0"/>
        <w:adjustRightInd w:val="0"/>
        <w:rPr>
          <w:color w:val="000000"/>
          <w:szCs w:val="24"/>
        </w:rPr>
      </w:pPr>
    </w:p>
    <w:p w:rsidR="00F969B3" w:rsidRDefault="00F969B3" w:rsidP="00F969B3">
      <w:pPr>
        <w:autoSpaceDE w:val="0"/>
        <w:autoSpaceDN w:val="0"/>
        <w:adjustRightInd w:val="0"/>
        <w:rPr>
          <w:szCs w:val="24"/>
        </w:rPr>
      </w:pPr>
      <w:r w:rsidRPr="00354FA8">
        <w:rPr>
          <w:color w:val="000000"/>
          <w:szCs w:val="24"/>
        </w:rPr>
        <w:t>In order to test the accuracy of the numerical code employed in the current investigation, results presented have been validated by Lauriat and Prasad</w:t>
      </w:r>
      <w:r>
        <w:rPr>
          <w:color w:val="000000"/>
          <w:szCs w:val="24"/>
        </w:rPr>
        <w:t xml:space="preserve"> </w:t>
      </w:r>
      <w:r w:rsidRPr="00354FA8">
        <w:rPr>
          <w:color w:val="000000"/>
          <w:szCs w:val="24"/>
        </w:rPr>
        <w:t>[9].</w:t>
      </w:r>
      <w:r w:rsidRPr="00354FA8">
        <w:rPr>
          <w:szCs w:val="24"/>
        </w:rPr>
        <w:t>The results of average Nusselt number</w:t>
      </w:r>
      <w:r>
        <w:rPr>
          <w:szCs w:val="24"/>
        </w:rPr>
        <w:t>(Nu</w:t>
      </w:r>
      <w:r w:rsidRPr="0027195D">
        <w:rPr>
          <w:szCs w:val="24"/>
          <w:vertAlign w:val="subscript"/>
        </w:rPr>
        <w:t>avg</w:t>
      </w:r>
      <w:r>
        <w:rPr>
          <w:szCs w:val="24"/>
        </w:rPr>
        <w:t>)</w:t>
      </w:r>
      <w:r w:rsidRPr="00354FA8">
        <w:rPr>
          <w:szCs w:val="24"/>
        </w:rPr>
        <w:t xml:space="preserve"> are found to be good agreement with </w:t>
      </w:r>
      <w:r w:rsidRPr="00354FA8">
        <w:rPr>
          <w:color w:val="000000"/>
          <w:szCs w:val="24"/>
        </w:rPr>
        <w:t xml:space="preserve">Lauriat and Prasad [9] for porous vertical cavity </w:t>
      </w:r>
      <w:r w:rsidRPr="00354FA8">
        <w:rPr>
          <w:szCs w:val="24"/>
        </w:rPr>
        <w:t>with heated left wall, cooled right wall and top and bottom walls adiabatic. The comparisons are presented in Table 2.</w:t>
      </w:r>
    </w:p>
    <w:p w:rsidR="00F969B3" w:rsidRDefault="00F969B3" w:rsidP="00F969B3">
      <w:pPr>
        <w:autoSpaceDE w:val="0"/>
        <w:autoSpaceDN w:val="0"/>
        <w:adjustRightInd w:val="0"/>
        <w:jc w:val="center"/>
        <w:rPr>
          <w:szCs w:val="24"/>
        </w:rPr>
      </w:pPr>
      <w:r w:rsidRPr="00354FA8">
        <w:rPr>
          <w:szCs w:val="24"/>
        </w:rPr>
        <w:t>Table 2: Comparison of average Nusselt number on the uniformly heated bottom wall from the present work with those reported by Lauriat &amp; Prasad [</w:t>
      </w:r>
      <w:r>
        <w:rPr>
          <w:szCs w:val="24"/>
        </w:rPr>
        <w:t>9</w:t>
      </w:r>
      <w:r w:rsidRPr="00354FA8">
        <w:rPr>
          <w:szCs w:val="24"/>
        </w:rPr>
        <w:t>]</w:t>
      </w:r>
    </w:p>
    <w:p w:rsidR="00EA3DFD" w:rsidRPr="00354FA8" w:rsidRDefault="00EA3DFD" w:rsidP="00F969B3">
      <w:pPr>
        <w:autoSpaceDE w:val="0"/>
        <w:autoSpaceDN w:val="0"/>
        <w:adjustRightInd w:val="0"/>
        <w:jc w:val="center"/>
        <w:rPr>
          <w:szCs w:val="24"/>
        </w:rPr>
      </w:pPr>
    </w:p>
    <w:tbl>
      <w:tblPr>
        <w:tblW w:w="0" w:type="auto"/>
        <w:jc w:val="center"/>
        <w:tblBorders>
          <w:top w:val="single" w:sz="4" w:space="0" w:color="auto"/>
          <w:bottom w:val="single" w:sz="4" w:space="0" w:color="auto"/>
        </w:tblBorders>
        <w:tblLook w:val="04A0"/>
      </w:tblPr>
      <w:tblGrid>
        <w:gridCol w:w="1439"/>
        <w:gridCol w:w="1441"/>
        <w:gridCol w:w="1479"/>
        <w:gridCol w:w="2616"/>
        <w:gridCol w:w="1504"/>
      </w:tblGrid>
      <w:tr w:rsidR="00F969B3" w:rsidRPr="00354FA8" w:rsidTr="00EA3DFD">
        <w:trPr>
          <w:jc w:val="center"/>
        </w:trPr>
        <w:tc>
          <w:tcPr>
            <w:tcW w:w="1439" w:type="dxa"/>
            <w:tcBorders>
              <w:top w:val="single" w:sz="4" w:space="0" w:color="auto"/>
              <w:bottom w:val="single" w:sz="4" w:space="0" w:color="auto"/>
            </w:tcBorders>
            <w:shd w:val="clear" w:color="auto" w:fill="auto"/>
          </w:tcPr>
          <w:p w:rsidR="00F969B3" w:rsidRPr="00354FA8" w:rsidRDefault="00F969B3" w:rsidP="00EA3DFD">
            <w:pPr>
              <w:pStyle w:val="NoSpacing"/>
            </w:pPr>
            <w:r w:rsidRPr="00354FA8">
              <w:t>Da</w:t>
            </w:r>
          </w:p>
        </w:tc>
        <w:tc>
          <w:tcPr>
            <w:tcW w:w="1441" w:type="dxa"/>
            <w:tcBorders>
              <w:top w:val="single" w:sz="4" w:space="0" w:color="auto"/>
              <w:bottom w:val="single" w:sz="4" w:space="0" w:color="auto"/>
            </w:tcBorders>
            <w:shd w:val="clear" w:color="auto" w:fill="auto"/>
          </w:tcPr>
          <w:p w:rsidR="00F969B3" w:rsidRPr="00354FA8" w:rsidRDefault="00F969B3" w:rsidP="00EA3DFD">
            <w:pPr>
              <w:pStyle w:val="NoSpacing"/>
            </w:pPr>
            <w:r w:rsidRPr="00354FA8">
              <w:t>Ra</w:t>
            </w:r>
          </w:p>
        </w:tc>
        <w:tc>
          <w:tcPr>
            <w:tcW w:w="1479" w:type="dxa"/>
            <w:tcBorders>
              <w:top w:val="single" w:sz="4" w:space="0" w:color="auto"/>
              <w:bottom w:val="single" w:sz="4" w:space="0" w:color="auto"/>
            </w:tcBorders>
            <w:shd w:val="clear" w:color="auto" w:fill="auto"/>
          </w:tcPr>
          <w:p w:rsidR="00F969B3" w:rsidRPr="00354FA8" w:rsidRDefault="00F969B3" w:rsidP="00EA3DFD">
            <w:pPr>
              <w:pStyle w:val="NoSpacing"/>
            </w:pPr>
            <w:r w:rsidRPr="00354FA8">
              <w:t>Present work</w:t>
            </w:r>
          </w:p>
        </w:tc>
        <w:tc>
          <w:tcPr>
            <w:tcW w:w="2616" w:type="dxa"/>
            <w:tcBorders>
              <w:top w:val="single" w:sz="4" w:space="0" w:color="auto"/>
              <w:bottom w:val="single" w:sz="4" w:space="0" w:color="auto"/>
            </w:tcBorders>
            <w:shd w:val="clear" w:color="auto" w:fill="auto"/>
          </w:tcPr>
          <w:p w:rsidR="00F969B3" w:rsidRPr="00354FA8" w:rsidRDefault="00F969B3" w:rsidP="00EA3DFD">
            <w:pPr>
              <w:pStyle w:val="NoSpacing"/>
            </w:pPr>
            <w:r w:rsidRPr="00354FA8">
              <w:t>Lauriat &amp; Prasad[</w:t>
            </w:r>
            <w:r>
              <w:t>9</w:t>
            </w:r>
            <w:r w:rsidRPr="00354FA8">
              <w:t>]</w:t>
            </w:r>
          </w:p>
        </w:tc>
        <w:tc>
          <w:tcPr>
            <w:tcW w:w="1504" w:type="dxa"/>
            <w:tcBorders>
              <w:top w:val="single" w:sz="4" w:space="0" w:color="auto"/>
              <w:bottom w:val="single" w:sz="4" w:space="0" w:color="auto"/>
            </w:tcBorders>
            <w:shd w:val="clear" w:color="auto" w:fill="auto"/>
          </w:tcPr>
          <w:p w:rsidR="00F969B3" w:rsidRPr="00354FA8" w:rsidRDefault="00F969B3" w:rsidP="00EA3DFD">
            <w:pPr>
              <w:pStyle w:val="NoSpacing"/>
            </w:pPr>
            <w:r w:rsidRPr="00354FA8">
              <w:t>Difference</w:t>
            </w:r>
          </w:p>
        </w:tc>
      </w:tr>
      <w:tr w:rsidR="00F969B3" w:rsidRPr="00354FA8" w:rsidTr="00EA3DFD">
        <w:trPr>
          <w:jc w:val="center"/>
        </w:trPr>
        <w:tc>
          <w:tcPr>
            <w:tcW w:w="1439" w:type="dxa"/>
            <w:vMerge w:val="restart"/>
            <w:tcBorders>
              <w:top w:val="single" w:sz="4" w:space="0" w:color="auto"/>
            </w:tcBorders>
            <w:shd w:val="clear" w:color="auto" w:fill="auto"/>
            <w:vAlign w:val="center"/>
          </w:tcPr>
          <w:p w:rsidR="00F969B3" w:rsidRPr="00354FA8" w:rsidRDefault="00F969B3" w:rsidP="00EA3DFD">
            <w:pPr>
              <w:pStyle w:val="NoSpacing"/>
            </w:pPr>
            <w:r w:rsidRPr="00354FA8">
              <w:t>10</w:t>
            </w:r>
            <w:r w:rsidRPr="00354FA8">
              <w:rPr>
                <w:vertAlign w:val="superscript"/>
              </w:rPr>
              <w:t>-2</w:t>
            </w:r>
          </w:p>
        </w:tc>
        <w:tc>
          <w:tcPr>
            <w:tcW w:w="1441" w:type="dxa"/>
            <w:tcBorders>
              <w:top w:val="single" w:sz="4" w:space="0" w:color="auto"/>
            </w:tcBorders>
            <w:shd w:val="clear" w:color="auto" w:fill="auto"/>
          </w:tcPr>
          <w:p w:rsidR="00F969B3" w:rsidRPr="00354FA8" w:rsidRDefault="00F969B3" w:rsidP="00EA3DFD">
            <w:pPr>
              <w:pStyle w:val="NoSpacing"/>
            </w:pPr>
            <w:r w:rsidRPr="00354FA8">
              <w:t>10</w:t>
            </w:r>
            <w:r w:rsidRPr="00354FA8">
              <w:rPr>
                <w:vertAlign w:val="superscript"/>
              </w:rPr>
              <w:t>3</w:t>
            </w:r>
          </w:p>
        </w:tc>
        <w:tc>
          <w:tcPr>
            <w:tcW w:w="1479" w:type="dxa"/>
            <w:tcBorders>
              <w:top w:val="single" w:sz="4" w:space="0" w:color="auto"/>
            </w:tcBorders>
            <w:shd w:val="clear" w:color="auto" w:fill="auto"/>
          </w:tcPr>
          <w:p w:rsidR="00F969B3" w:rsidRPr="00354FA8" w:rsidRDefault="00F969B3" w:rsidP="00EA3DFD">
            <w:pPr>
              <w:pStyle w:val="NoSpacing"/>
            </w:pPr>
            <w:r w:rsidRPr="00354FA8">
              <w:t>1.00</w:t>
            </w:r>
          </w:p>
        </w:tc>
        <w:tc>
          <w:tcPr>
            <w:tcW w:w="2616" w:type="dxa"/>
            <w:tcBorders>
              <w:top w:val="single" w:sz="4" w:space="0" w:color="auto"/>
            </w:tcBorders>
            <w:shd w:val="clear" w:color="auto" w:fill="auto"/>
          </w:tcPr>
          <w:p w:rsidR="00F969B3" w:rsidRPr="00354FA8" w:rsidRDefault="00F969B3" w:rsidP="00EA3DFD">
            <w:pPr>
              <w:pStyle w:val="NoSpacing"/>
            </w:pPr>
            <w:r w:rsidRPr="00354FA8">
              <w:t>1.02</w:t>
            </w:r>
          </w:p>
        </w:tc>
        <w:tc>
          <w:tcPr>
            <w:tcW w:w="1504" w:type="dxa"/>
            <w:tcBorders>
              <w:top w:val="single" w:sz="4" w:space="0" w:color="auto"/>
            </w:tcBorders>
            <w:shd w:val="clear" w:color="auto" w:fill="auto"/>
          </w:tcPr>
          <w:p w:rsidR="00F969B3" w:rsidRPr="00354FA8" w:rsidRDefault="00F969B3" w:rsidP="00EA3DFD">
            <w:pPr>
              <w:pStyle w:val="NoSpacing"/>
            </w:pPr>
            <w:r w:rsidRPr="00354FA8">
              <w:t>1.9%</w:t>
            </w:r>
          </w:p>
        </w:tc>
      </w:tr>
      <w:tr w:rsidR="00F969B3" w:rsidRPr="00354FA8" w:rsidTr="00EA3DFD">
        <w:trPr>
          <w:jc w:val="center"/>
        </w:trPr>
        <w:tc>
          <w:tcPr>
            <w:tcW w:w="1439" w:type="dxa"/>
            <w:vMerge/>
            <w:shd w:val="clear" w:color="auto" w:fill="auto"/>
          </w:tcPr>
          <w:p w:rsidR="00F969B3" w:rsidRPr="00354FA8" w:rsidRDefault="00F969B3" w:rsidP="00EA3DFD">
            <w:pPr>
              <w:pStyle w:val="NoSpacing"/>
            </w:pPr>
          </w:p>
        </w:tc>
        <w:tc>
          <w:tcPr>
            <w:tcW w:w="1441" w:type="dxa"/>
            <w:shd w:val="clear" w:color="auto" w:fill="auto"/>
          </w:tcPr>
          <w:p w:rsidR="00F969B3" w:rsidRPr="00354FA8" w:rsidRDefault="00F969B3" w:rsidP="00EA3DFD">
            <w:pPr>
              <w:pStyle w:val="NoSpacing"/>
            </w:pPr>
            <w:r w:rsidRPr="00354FA8">
              <w:t>10</w:t>
            </w:r>
            <w:r w:rsidRPr="00354FA8">
              <w:rPr>
                <w:vertAlign w:val="superscript"/>
              </w:rPr>
              <w:t>4</w:t>
            </w:r>
          </w:p>
        </w:tc>
        <w:tc>
          <w:tcPr>
            <w:tcW w:w="1479" w:type="dxa"/>
            <w:shd w:val="clear" w:color="auto" w:fill="auto"/>
          </w:tcPr>
          <w:p w:rsidR="00F969B3" w:rsidRPr="00354FA8" w:rsidRDefault="00F969B3" w:rsidP="00EA3DFD">
            <w:pPr>
              <w:pStyle w:val="NoSpacing"/>
            </w:pPr>
            <w:r w:rsidRPr="00354FA8">
              <w:t>1.62</w:t>
            </w:r>
          </w:p>
        </w:tc>
        <w:tc>
          <w:tcPr>
            <w:tcW w:w="2616" w:type="dxa"/>
            <w:shd w:val="clear" w:color="auto" w:fill="auto"/>
          </w:tcPr>
          <w:p w:rsidR="00F969B3" w:rsidRPr="00354FA8" w:rsidRDefault="00F969B3" w:rsidP="00EA3DFD">
            <w:pPr>
              <w:pStyle w:val="NoSpacing"/>
            </w:pPr>
            <w:r w:rsidRPr="00354FA8">
              <w:t>1.70</w:t>
            </w:r>
          </w:p>
        </w:tc>
        <w:tc>
          <w:tcPr>
            <w:tcW w:w="1504" w:type="dxa"/>
            <w:shd w:val="clear" w:color="auto" w:fill="auto"/>
          </w:tcPr>
          <w:p w:rsidR="00F969B3" w:rsidRPr="00354FA8" w:rsidRDefault="00F969B3" w:rsidP="00EA3DFD">
            <w:pPr>
              <w:pStyle w:val="NoSpacing"/>
            </w:pPr>
            <w:r w:rsidRPr="00354FA8">
              <w:t>4.7%</w:t>
            </w:r>
          </w:p>
        </w:tc>
      </w:tr>
      <w:tr w:rsidR="00F969B3" w:rsidRPr="00354FA8" w:rsidTr="00EA3DFD">
        <w:trPr>
          <w:jc w:val="center"/>
        </w:trPr>
        <w:tc>
          <w:tcPr>
            <w:tcW w:w="1439" w:type="dxa"/>
            <w:vMerge/>
            <w:shd w:val="clear" w:color="auto" w:fill="auto"/>
          </w:tcPr>
          <w:p w:rsidR="00F969B3" w:rsidRPr="00354FA8" w:rsidRDefault="00F969B3" w:rsidP="00EA3DFD">
            <w:pPr>
              <w:pStyle w:val="NoSpacing"/>
            </w:pPr>
          </w:p>
        </w:tc>
        <w:tc>
          <w:tcPr>
            <w:tcW w:w="1441" w:type="dxa"/>
            <w:shd w:val="clear" w:color="auto" w:fill="auto"/>
          </w:tcPr>
          <w:p w:rsidR="00F969B3" w:rsidRPr="00354FA8" w:rsidRDefault="00F969B3" w:rsidP="00EA3DFD">
            <w:pPr>
              <w:pStyle w:val="NoSpacing"/>
            </w:pPr>
            <w:r w:rsidRPr="00354FA8">
              <w:t>10</w:t>
            </w:r>
            <w:r w:rsidRPr="00354FA8">
              <w:rPr>
                <w:vertAlign w:val="superscript"/>
              </w:rPr>
              <w:t>5</w:t>
            </w:r>
          </w:p>
        </w:tc>
        <w:tc>
          <w:tcPr>
            <w:tcW w:w="1479" w:type="dxa"/>
            <w:shd w:val="clear" w:color="auto" w:fill="auto"/>
          </w:tcPr>
          <w:p w:rsidR="00F969B3" w:rsidRPr="00354FA8" w:rsidRDefault="00F969B3" w:rsidP="00EA3DFD">
            <w:pPr>
              <w:pStyle w:val="NoSpacing"/>
            </w:pPr>
            <w:r w:rsidRPr="00354FA8">
              <w:t>4.10</w:t>
            </w:r>
          </w:p>
        </w:tc>
        <w:tc>
          <w:tcPr>
            <w:tcW w:w="2616" w:type="dxa"/>
            <w:shd w:val="clear" w:color="auto" w:fill="auto"/>
          </w:tcPr>
          <w:p w:rsidR="00F969B3" w:rsidRPr="00354FA8" w:rsidRDefault="00F969B3" w:rsidP="00EA3DFD">
            <w:pPr>
              <w:pStyle w:val="NoSpacing"/>
            </w:pPr>
            <w:r w:rsidRPr="00354FA8">
              <w:t>4.26</w:t>
            </w:r>
          </w:p>
        </w:tc>
        <w:tc>
          <w:tcPr>
            <w:tcW w:w="1504" w:type="dxa"/>
            <w:shd w:val="clear" w:color="auto" w:fill="auto"/>
          </w:tcPr>
          <w:p w:rsidR="00F969B3" w:rsidRPr="00354FA8" w:rsidRDefault="00F969B3" w:rsidP="00EA3DFD">
            <w:pPr>
              <w:pStyle w:val="NoSpacing"/>
            </w:pPr>
            <w:r w:rsidRPr="00354FA8">
              <w:t>3.7%</w:t>
            </w:r>
          </w:p>
        </w:tc>
      </w:tr>
      <w:tr w:rsidR="00F969B3" w:rsidRPr="00354FA8" w:rsidTr="00EA3DFD">
        <w:trPr>
          <w:jc w:val="center"/>
        </w:trPr>
        <w:tc>
          <w:tcPr>
            <w:tcW w:w="1439" w:type="dxa"/>
            <w:shd w:val="clear" w:color="auto" w:fill="auto"/>
          </w:tcPr>
          <w:p w:rsidR="00F969B3" w:rsidRPr="00354FA8" w:rsidRDefault="00F969B3" w:rsidP="00EA3DFD">
            <w:pPr>
              <w:pStyle w:val="NoSpacing"/>
            </w:pPr>
            <w:r w:rsidRPr="00354FA8">
              <w:t>10</w:t>
            </w:r>
            <w:r w:rsidRPr="00354FA8">
              <w:rPr>
                <w:vertAlign w:val="superscript"/>
              </w:rPr>
              <w:t>-4</w:t>
            </w:r>
          </w:p>
        </w:tc>
        <w:tc>
          <w:tcPr>
            <w:tcW w:w="1441" w:type="dxa"/>
            <w:shd w:val="clear" w:color="auto" w:fill="auto"/>
          </w:tcPr>
          <w:p w:rsidR="00F969B3" w:rsidRPr="00354FA8" w:rsidRDefault="00F969B3" w:rsidP="00EA3DFD">
            <w:pPr>
              <w:pStyle w:val="NoSpacing"/>
            </w:pPr>
            <w:r w:rsidRPr="00354FA8">
              <w:t>10</w:t>
            </w:r>
            <w:r w:rsidRPr="00354FA8">
              <w:rPr>
                <w:vertAlign w:val="superscript"/>
              </w:rPr>
              <w:t>5</w:t>
            </w:r>
          </w:p>
        </w:tc>
        <w:tc>
          <w:tcPr>
            <w:tcW w:w="1479" w:type="dxa"/>
            <w:shd w:val="clear" w:color="auto" w:fill="auto"/>
          </w:tcPr>
          <w:p w:rsidR="00F969B3" w:rsidRPr="00354FA8" w:rsidRDefault="00F969B3" w:rsidP="00EA3DFD">
            <w:pPr>
              <w:pStyle w:val="NoSpacing"/>
            </w:pPr>
            <w:r w:rsidRPr="00354FA8">
              <w:t>1.03</w:t>
            </w:r>
          </w:p>
        </w:tc>
        <w:tc>
          <w:tcPr>
            <w:tcW w:w="2616" w:type="dxa"/>
            <w:shd w:val="clear" w:color="auto" w:fill="auto"/>
          </w:tcPr>
          <w:p w:rsidR="00F969B3" w:rsidRPr="00354FA8" w:rsidRDefault="00F969B3" w:rsidP="00EA3DFD">
            <w:pPr>
              <w:pStyle w:val="NoSpacing"/>
            </w:pPr>
            <w:r w:rsidRPr="00354FA8">
              <w:t>1.06</w:t>
            </w:r>
          </w:p>
        </w:tc>
        <w:tc>
          <w:tcPr>
            <w:tcW w:w="1504" w:type="dxa"/>
            <w:shd w:val="clear" w:color="auto" w:fill="auto"/>
          </w:tcPr>
          <w:p w:rsidR="00F969B3" w:rsidRPr="00354FA8" w:rsidRDefault="00F969B3" w:rsidP="00EA3DFD">
            <w:pPr>
              <w:pStyle w:val="NoSpacing"/>
            </w:pPr>
            <w:r w:rsidRPr="00354FA8">
              <w:t>2.8%</w:t>
            </w:r>
          </w:p>
        </w:tc>
      </w:tr>
    </w:tbl>
    <w:p w:rsidR="00F969B3" w:rsidRPr="00E459F1" w:rsidRDefault="00F969B3" w:rsidP="00F969B3">
      <w:pPr>
        <w:pStyle w:val="NoSpacing"/>
        <w:rPr>
          <w:rFonts w:ascii="Arial" w:hAnsi="Arial" w:cs="Arial"/>
          <w:color w:val="002060"/>
        </w:rPr>
      </w:pPr>
      <w:r w:rsidRPr="00E459F1">
        <w:rPr>
          <w:rFonts w:ascii="Arial" w:hAnsi="Arial" w:cs="Arial"/>
          <w:color w:val="002060"/>
        </w:rPr>
        <w:lastRenderedPageBreak/>
        <w:t>4. Results and Discussion</w:t>
      </w:r>
    </w:p>
    <w:p w:rsidR="00210B23" w:rsidRDefault="00210B23" w:rsidP="00210B23">
      <w:pPr>
        <w:autoSpaceDE w:val="0"/>
        <w:autoSpaceDN w:val="0"/>
        <w:adjustRightInd w:val="0"/>
        <w:ind w:left="720" w:firstLine="0"/>
        <w:rPr>
          <w:szCs w:val="24"/>
        </w:rPr>
      </w:pPr>
      <w:r w:rsidRPr="00210B23">
        <w:rPr>
          <w:szCs w:val="24"/>
        </w:rPr>
        <w:t xml:space="preserve">The prime focus of the current investigation is to analyze the transport characteristics of thermal energy and entropy generation inside a two-dimensional porous </w:t>
      </w:r>
      <w:r w:rsidRPr="00210B23">
        <w:rPr>
          <w:color w:val="000000" w:themeColor="text1"/>
          <w:szCs w:val="24"/>
        </w:rPr>
        <w:t>recto semicircular</w:t>
      </w:r>
      <w:r w:rsidRPr="00210B23">
        <w:rPr>
          <w:color w:val="FF0000"/>
          <w:szCs w:val="24"/>
        </w:rPr>
        <w:t xml:space="preserve"> </w:t>
      </w:r>
      <w:r w:rsidRPr="00210B23">
        <w:rPr>
          <w:szCs w:val="24"/>
        </w:rPr>
        <w:t>enclosure subjected to non-uniform temperature distribution at the bottom wall. The numerical experiments are presented for Rayleigh number in the range of 10</w:t>
      </w:r>
      <w:r w:rsidRPr="00210B23">
        <w:rPr>
          <w:szCs w:val="24"/>
          <w:vertAlign w:val="superscript"/>
        </w:rPr>
        <w:t>3</w:t>
      </w:r>
      <w:r w:rsidRPr="00210B23">
        <w:rPr>
          <w:rFonts w:hAnsi="Cambria Math"/>
          <w:szCs w:val="24"/>
        </w:rPr>
        <w:t>⩽</w:t>
      </w:r>
      <w:r w:rsidRPr="00210B23">
        <w:rPr>
          <w:szCs w:val="24"/>
        </w:rPr>
        <w:t>Ra</w:t>
      </w:r>
      <w:r w:rsidRPr="00210B23">
        <w:rPr>
          <w:rFonts w:hAnsi="Cambria Math"/>
          <w:szCs w:val="24"/>
        </w:rPr>
        <w:t>⩽</w:t>
      </w:r>
      <w:r w:rsidRPr="00210B23">
        <w:rPr>
          <w:szCs w:val="24"/>
        </w:rPr>
        <w:t>10</w:t>
      </w:r>
      <w:r w:rsidRPr="00210B23">
        <w:rPr>
          <w:szCs w:val="24"/>
          <w:vertAlign w:val="superscript"/>
        </w:rPr>
        <w:t xml:space="preserve">6 </w:t>
      </w:r>
      <w:r w:rsidRPr="00210B23">
        <w:rPr>
          <w:szCs w:val="24"/>
        </w:rPr>
        <w:t>and Darcy number 10</w:t>
      </w:r>
      <w:r w:rsidRPr="00210B23">
        <w:rPr>
          <w:szCs w:val="24"/>
          <w:vertAlign w:val="superscript"/>
        </w:rPr>
        <w:t>-4</w:t>
      </w:r>
      <w:r w:rsidRPr="00210B23">
        <w:rPr>
          <w:rFonts w:hAnsi="Cambria Math"/>
          <w:szCs w:val="24"/>
        </w:rPr>
        <w:t>⩽</w:t>
      </w:r>
      <w:r w:rsidRPr="00210B23">
        <w:rPr>
          <w:rStyle w:val="Emphasis"/>
          <w:b w:val="0"/>
          <w:szCs w:val="24"/>
        </w:rPr>
        <w:t>Da</w:t>
      </w:r>
      <w:r w:rsidRPr="00210B23">
        <w:rPr>
          <w:rFonts w:hAnsi="Cambria Math"/>
          <w:szCs w:val="24"/>
        </w:rPr>
        <w:t>⩽</w:t>
      </w:r>
      <w:r w:rsidRPr="00210B23">
        <w:rPr>
          <w:szCs w:val="24"/>
        </w:rPr>
        <w:t>10</w:t>
      </w:r>
      <w:r w:rsidRPr="00210B23">
        <w:rPr>
          <w:szCs w:val="24"/>
          <w:vertAlign w:val="superscript"/>
        </w:rPr>
        <w:t>-2</w:t>
      </w:r>
      <w:r w:rsidRPr="00210B23">
        <w:rPr>
          <w:szCs w:val="24"/>
        </w:rPr>
        <w:t>.</w:t>
      </w:r>
    </w:p>
    <w:p w:rsidR="00210B23" w:rsidRPr="00E459F1" w:rsidRDefault="00210B23" w:rsidP="00210B23">
      <w:pPr>
        <w:pStyle w:val="NoSpacing"/>
        <w:rPr>
          <w:rFonts w:ascii="Arial" w:hAnsi="Arial" w:cs="Arial"/>
          <w:color w:val="002060"/>
        </w:rPr>
      </w:pPr>
      <w:r w:rsidRPr="00E459F1">
        <w:rPr>
          <w:rFonts w:ascii="Arial" w:hAnsi="Arial" w:cs="Arial"/>
          <w:color w:val="002060"/>
        </w:rPr>
        <w:t>4.1. Flow and temperature field</w:t>
      </w:r>
    </w:p>
    <w:p w:rsidR="00210B23" w:rsidRPr="00210B23" w:rsidRDefault="00210B23" w:rsidP="00210B23">
      <w:pPr>
        <w:autoSpaceDE w:val="0"/>
        <w:autoSpaceDN w:val="0"/>
        <w:adjustRightInd w:val="0"/>
        <w:ind w:left="720" w:firstLine="0"/>
        <w:rPr>
          <w:szCs w:val="24"/>
        </w:rPr>
      </w:pPr>
      <w:r w:rsidRPr="00210B23">
        <w:rPr>
          <w:szCs w:val="24"/>
        </w:rPr>
        <w:t>In order scrutinize the heat transfer characteristics for Darcy number and Rayleigh number variation, the analysis of the flow and thermal field is of utmost importance. Accordingly, the streamlines and isotherms are illustrated in Figures 2 for one Darcy number ,</w:t>
      </w:r>
      <w:r w:rsidRPr="00210B23">
        <w:rPr>
          <w:rFonts w:eastAsia="Calibri"/>
          <w:szCs w:val="24"/>
        </w:rPr>
        <w:t>10</w:t>
      </w:r>
      <w:r w:rsidRPr="00210B23">
        <w:rPr>
          <w:rFonts w:eastAsia="Calibri"/>
          <w:szCs w:val="24"/>
          <w:vertAlign w:val="superscript"/>
        </w:rPr>
        <w:t>-2</w:t>
      </w:r>
      <w:r w:rsidRPr="00210B23">
        <w:rPr>
          <w:szCs w:val="24"/>
        </w:rPr>
        <w:t xml:space="preserve">) and Rayleigh numbers in the range of </w:t>
      </w:r>
      <w:r w:rsidRPr="00210B23">
        <w:rPr>
          <w:rFonts w:eastAsia="Calibri"/>
          <w:szCs w:val="24"/>
        </w:rPr>
        <w:t>10</w:t>
      </w:r>
      <w:r w:rsidRPr="00210B23">
        <w:rPr>
          <w:rFonts w:eastAsia="Calibri"/>
          <w:szCs w:val="24"/>
          <w:vertAlign w:val="superscript"/>
        </w:rPr>
        <w:t>4</w:t>
      </w:r>
      <w:r w:rsidRPr="00210B23">
        <w:rPr>
          <w:rFonts w:eastAsia="Calibri"/>
          <w:szCs w:val="24"/>
        </w:rPr>
        <w:t xml:space="preserve"> and </w:t>
      </w:r>
      <w:r w:rsidRPr="00354FA8">
        <w:rPr>
          <w:rFonts w:eastAsia="Calibri"/>
          <w:position w:val="-6"/>
        </w:rPr>
        <w:object w:dxaOrig="360" w:dyaOrig="320">
          <v:shape id="_x0000_i1053" type="#_x0000_t75" style="width:17.75pt;height:15.6pt" o:ole="">
            <v:imagedata r:id="rId61" o:title=""/>
          </v:shape>
          <o:OLEObject Type="Embed" ProgID="Equation.DSMT4" ShapeID="_x0000_i1053" DrawAspect="Content" ObjectID="_1612205717" r:id="rId62"/>
        </w:object>
      </w:r>
      <w:r w:rsidRPr="00210B23">
        <w:rPr>
          <w:rFonts w:eastAsia="Calibri"/>
          <w:position w:val="-6"/>
          <w:szCs w:val="24"/>
        </w:rPr>
        <w:t>.</w:t>
      </w:r>
    </w:p>
    <w:p w:rsidR="00210B23" w:rsidRPr="00210B23" w:rsidRDefault="00210B23" w:rsidP="00210B23">
      <w:pPr>
        <w:autoSpaceDE w:val="0"/>
        <w:autoSpaceDN w:val="0"/>
        <w:adjustRightInd w:val="0"/>
        <w:ind w:left="720" w:firstLine="0"/>
        <w:rPr>
          <w:szCs w:val="24"/>
        </w:rPr>
      </w:pPr>
      <w:r>
        <w:rPr>
          <w:noProof/>
          <w:lang w:val="en-IN" w:eastAsia="en-IN"/>
        </w:rPr>
        <w:drawing>
          <wp:inline distT="0" distB="0" distL="0" distR="0">
            <wp:extent cx="1390485" cy="1252151"/>
            <wp:effectExtent l="19050" t="0" r="165" b="0"/>
            <wp:docPr id="52" name="Picture 52" descr="C:\Users\SANTUNU DUTTA\Desktop\ICHMT_ISHMT 19\NIT warangal_ICAMER - 2019\Plots\streamline_value_Da1e-2_Ra1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SANTUNU DUTTA\Desktop\ICHMT_ISHMT 19\NIT warangal_ICAMER - 2019\Plots\streamline_value_Da1e-2_Ra1e4.png"/>
                    <pic:cNvPicPr>
                      <a:picLocks noChangeAspect="1" noChangeArrowheads="1"/>
                    </pic:cNvPicPr>
                  </pic:nvPicPr>
                  <pic:blipFill>
                    <a:blip r:embed="rId63" cstate="print"/>
                    <a:srcRect/>
                    <a:stretch>
                      <a:fillRect/>
                    </a:stretch>
                  </pic:blipFill>
                  <pic:spPr bwMode="auto">
                    <a:xfrm>
                      <a:off x="0" y="0"/>
                      <a:ext cx="1398006" cy="1258924"/>
                    </a:xfrm>
                    <a:prstGeom prst="rect">
                      <a:avLst/>
                    </a:prstGeom>
                    <a:noFill/>
                    <a:ln w="9525">
                      <a:noFill/>
                      <a:miter lim="800000"/>
                      <a:headEnd/>
                      <a:tailEnd/>
                    </a:ln>
                  </pic:spPr>
                </pic:pic>
              </a:graphicData>
            </a:graphic>
          </wp:inline>
        </w:drawing>
      </w:r>
      <w:r>
        <w:rPr>
          <w:noProof/>
          <w:lang w:val="en-IN" w:eastAsia="en-IN"/>
        </w:rPr>
        <w:drawing>
          <wp:inline distT="0" distB="0" distL="0" distR="0">
            <wp:extent cx="1337349" cy="1202724"/>
            <wp:effectExtent l="19050" t="0" r="0" b="0"/>
            <wp:docPr id="53" name="Picture 53" descr="C:\Users\SANTUNU DUTTA\Desktop\ICHMT_ISHMT 19\NIT warangal_ICAMER - 2019\Plots\isotherm_value_Da1e-2_Ra1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ANTUNU DUTTA\Desktop\ICHMT_ISHMT 19\NIT warangal_ICAMER - 2019\Plots\isotherm_value_Da1e-2_Ra1e4.png"/>
                    <pic:cNvPicPr>
                      <a:picLocks noChangeAspect="1" noChangeArrowheads="1"/>
                    </pic:cNvPicPr>
                  </pic:nvPicPr>
                  <pic:blipFill>
                    <a:blip r:embed="rId64" cstate="print"/>
                    <a:srcRect/>
                    <a:stretch>
                      <a:fillRect/>
                    </a:stretch>
                  </pic:blipFill>
                  <pic:spPr bwMode="auto">
                    <a:xfrm>
                      <a:off x="0" y="0"/>
                      <a:ext cx="1340559" cy="1205611"/>
                    </a:xfrm>
                    <a:prstGeom prst="rect">
                      <a:avLst/>
                    </a:prstGeom>
                    <a:noFill/>
                    <a:ln w="9525">
                      <a:noFill/>
                      <a:miter lim="800000"/>
                      <a:headEnd/>
                      <a:tailEnd/>
                    </a:ln>
                  </pic:spPr>
                </pic:pic>
              </a:graphicData>
            </a:graphic>
          </wp:inline>
        </w:drawing>
      </w:r>
      <w:r w:rsidRPr="00E2272A">
        <w:rPr>
          <w:noProof/>
          <w:lang w:val="en-IN" w:eastAsia="en-IN"/>
        </w:rPr>
        <w:drawing>
          <wp:inline distT="0" distB="0" distL="0" distR="0">
            <wp:extent cx="1389621" cy="1251372"/>
            <wp:effectExtent l="19050" t="0" r="1029" b="0"/>
            <wp:docPr id="2" name="Picture 55" descr="C:\Users\SANTUNU DUTTA\Desktop\ICHMT_ISHMT 19\NIT warangal_ICAMER - 2019\Plots\streamline_value_Da1e-2_Ra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SANTUNU DUTTA\Desktop\ICHMT_ISHMT 19\NIT warangal_ICAMER - 2019\Plots\streamline_value_Da1e-2_Ra1e6.png"/>
                    <pic:cNvPicPr>
                      <a:picLocks noChangeAspect="1" noChangeArrowheads="1"/>
                    </pic:cNvPicPr>
                  </pic:nvPicPr>
                  <pic:blipFill>
                    <a:blip r:embed="rId65" cstate="print"/>
                    <a:srcRect/>
                    <a:stretch>
                      <a:fillRect/>
                    </a:stretch>
                  </pic:blipFill>
                  <pic:spPr bwMode="auto">
                    <a:xfrm>
                      <a:off x="0" y="0"/>
                      <a:ext cx="1403377" cy="1263760"/>
                    </a:xfrm>
                    <a:prstGeom prst="rect">
                      <a:avLst/>
                    </a:prstGeom>
                    <a:noFill/>
                    <a:ln w="9525">
                      <a:noFill/>
                      <a:miter lim="800000"/>
                      <a:headEnd/>
                      <a:tailEnd/>
                    </a:ln>
                  </pic:spPr>
                </pic:pic>
              </a:graphicData>
            </a:graphic>
          </wp:inline>
        </w:drawing>
      </w:r>
      <w:r w:rsidRPr="00210B23">
        <w:rPr>
          <w:b/>
          <w:noProof/>
          <w:szCs w:val="24"/>
        </w:rPr>
        <w:t xml:space="preserve"> </w:t>
      </w:r>
      <w:r w:rsidRPr="00E2272A">
        <w:rPr>
          <w:b/>
          <w:noProof/>
          <w:lang w:val="en-IN" w:eastAsia="en-IN"/>
        </w:rPr>
        <w:drawing>
          <wp:inline distT="0" distB="0" distL="0" distR="0">
            <wp:extent cx="1389846" cy="1249937"/>
            <wp:effectExtent l="19050" t="0" r="804" b="0"/>
            <wp:docPr id="3" name="Picture 56" descr="C:\Users\SANTUNU DUTTA\Desktop\ICHMT_ISHMT 19\NIT warangal_ICAMER - 2019\Plots\isotherm_value_Da1e-2_Ra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ANTUNU DUTTA\Desktop\ICHMT_ISHMT 19\NIT warangal_ICAMER - 2019\Plots\isotherm_value_Da1e-2_Ra1e6.png"/>
                    <pic:cNvPicPr>
                      <a:picLocks noChangeAspect="1" noChangeArrowheads="1"/>
                    </pic:cNvPicPr>
                  </pic:nvPicPr>
                  <pic:blipFill>
                    <a:blip r:embed="rId66" cstate="print"/>
                    <a:srcRect/>
                    <a:stretch>
                      <a:fillRect/>
                    </a:stretch>
                  </pic:blipFill>
                  <pic:spPr bwMode="auto">
                    <a:xfrm>
                      <a:off x="0" y="0"/>
                      <a:ext cx="1393235" cy="1252985"/>
                    </a:xfrm>
                    <a:prstGeom prst="rect">
                      <a:avLst/>
                    </a:prstGeom>
                    <a:noFill/>
                    <a:ln w="9525">
                      <a:noFill/>
                      <a:miter lim="800000"/>
                      <a:headEnd/>
                      <a:tailEnd/>
                    </a:ln>
                  </pic:spPr>
                </pic:pic>
              </a:graphicData>
            </a:graphic>
          </wp:inline>
        </w:drawing>
      </w:r>
    </w:p>
    <w:p w:rsidR="00210B23" w:rsidRPr="00210B23" w:rsidRDefault="00210B23" w:rsidP="00210B23">
      <w:pPr>
        <w:autoSpaceDE w:val="0"/>
        <w:autoSpaceDN w:val="0"/>
        <w:adjustRightInd w:val="0"/>
        <w:ind w:left="720" w:firstLine="0"/>
        <w:rPr>
          <w:szCs w:val="24"/>
        </w:rPr>
      </w:pPr>
      <w:r w:rsidRPr="00210B23">
        <w:rPr>
          <w:szCs w:val="24"/>
        </w:rPr>
        <w:t xml:space="preserve">                                   (a)                                                                     (b)</w:t>
      </w:r>
    </w:p>
    <w:p w:rsidR="00210B23" w:rsidRPr="00210B23" w:rsidRDefault="00210B23" w:rsidP="00210B23">
      <w:pPr>
        <w:autoSpaceDE w:val="0"/>
        <w:autoSpaceDN w:val="0"/>
        <w:adjustRightInd w:val="0"/>
        <w:ind w:left="720" w:firstLine="0"/>
        <w:rPr>
          <w:rFonts w:ascii="Arial" w:hAnsi="Arial" w:cs="Arial"/>
          <w:szCs w:val="24"/>
        </w:rPr>
      </w:pPr>
      <w:r w:rsidRPr="00210B23">
        <w:rPr>
          <w:rFonts w:ascii="Arial" w:hAnsi="Arial" w:cs="Arial"/>
          <w:szCs w:val="24"/>
        </w:rPr>
        <w:t xml:space="preserve">                    Fig</w:t>
      </w:r>
      <w:r w:rsidR="00EA3DFD">
        <w:rPr>
          <w:rFonts w:ascii="Arial" w:hAnsi="Arial" w:cs="Arial"/>
          <w:szCs w:val="24"/>
        </w:rPr>
        <w:t>.</w:t>
      </w:r>
      <w:r w:rsidRPr="00210B23">
        <w:rPr>
          <w:rFonts w:ascii="Arial" w:hAnsi="Arial" w:cs="Arial"/>
          <w:szCs w:val="24"/>
        </w:rPr>
        <w:t xml:space="preserve"> 2</w:t>
      </w:r>
      <w:r w:rsidR="00EA3DFD">
        <w:rPr>
          <w:rFonts w:ascii="Arial" w:hAnsi="Arial" w:cs="Arial"/>
          <w:szCs w:val="24"/>
        </w:rPr>
        <w:t>.</w:t>
      </w:r>
      <w:r w:rsidRPr="00210B23">
        <w:rPr>
          <w:rFonts w:ascii="Arial" w:hAnsi="Arial" w:cs="Arial"/>
          <w:szCs w:val="24"/>
        </w:rPr>
        <w:t xml:space="preserve"> Stream lines  and isotherms (a) Ra=10</w:t>
      </w:r>
      <w:r w:rsidRPr="00210B23">
        <w:rPr>
          <w:rFonts w:ascii="Arial" w:hAnsi="Arial" w:cs="Arial"/>
          <w:szCs w:val="24"/>
          <w:vertAlign w:val="superscript"/>
        </w:rPr>
        <w:t>4</w:t>
      </w:r>
      <w:r w:rsidRPr="00210B23">
        <w:rPr>
          <w:rFonts w:ascii="Arial" w:hAnsi="Arial" w:cs="Arial"/>
          <w:szCs w:val="24"/>
        </w:rPr>
        <w:t xml:space="preserve"> (b) Ra=10</w:t>
      </w:r>
      <w:r w:rsidRPr="00210B23">
        <w:rPr>
          <w:rFonts w:ascii="Arial" w:hAnsi="Arial" w:cs="Arial"/>
          <w:szCs w:val="24"/>
          <w:vertAlign w:val="superscript"/>
        </w:rPr>
        <w:t>6</w:t>
      </w:r>
      <w:r w:rsidRPr="00210B23">
        <w:rPr>
          <w:rFonts w:ascii="Arial" w:hAnsi="Arial" w:cs="Arial"/>
          <w:szCs w:val="24"/>
        </w:rPr>
        <w:t>, Da=10</w:t>
      </w:r>
      <w:r w:rsidRPr="00210B23">
        <w:rPr>
          <w:rFonts w:ascii="Arial" w:hAnsi="Arial" w:cs="Arial"/>
          <w:szCs w:val="24"/>
          <w:vertAlign w:val="superscript"/>
        </w:rPr>
        <w:t>-2</w:t>
      </w:r>
    </w:p>
    <w:p w:rsidR="00210B23" w:rsidRDefault="00210B23" w:rsidP="00210B23">
      <w:pPr>
        <w:autoSpaceDE w:val="0"/>
        <w:autoSpaceDN w:val="0"/>
        <w:adjustRightInd w:val="0"/>
        <w:ind w:left="720" w:firstLine="0"/>
        <w:rPr>
          <w:rFonts w:eastAsia="Calibri"/>
          <w:szCs w:val="24"/>
        </w:rPr>
      </w:pPr>
      <w:r w:rsidRPr="00210B23">
        <w:rPr>
          <w:szCs w:val="24"/>
        </w:rPr>
        <w:t>For all values of Rayleigh number and Darcy number shown, two asymmetric circulating cells, rotating in the opposite directions are observed within the enclosure. It can be perceived, that the two cells are not symmetric and this is for asymmetric boundary condition. At low Ra=10</w:t>
      </w:r>
      <w:r w:rsidRPr="00210B23">
        <w:rPr>
          <w:szCs w:val="24"/>
          <w:vertAlign w:val="superscript"/>
        </w:rPr>
        <w:t>4</w:t>
      </w:r>
      <w:r w:rsidRPr="00210B23">
        <w:rPr>
          <w:szCs w:val="24"/>
        </w:rPr>
        <w:t xml:space="preserve"> stream lines are characterised by low cell strength of ψ</w:t>
      </w:r>
      <w:r w:rsidRPr="00210B23">
        <w:rPr>
          <w:szCs w:val="24"/>
          <w:vertAlign w:val="subscript"/>
        </w:rPr>
        <w:t>max</w:t>
      </w:r>
      <w:r w:rsidRPr="00210B23">
        <w:rPr>
          <w:szCs w:val="24"/>
        </w:rPr>
        <w:t>=5.4(anticlockwise circulation which increases to ψ</w:t>
      </w:r>
      <w:r w:rsidRPr="00210B23">
        <w:rPr>
          <w:szCs w:val="24"/>
          <w:vertAlign w:val="subscript"/>
        </w:rPr>
        <w:t>max</w:t>
      </w:r>
      <w:r w:rsidRPr="00210B23">
        <w:rPr>
          <w:szCs w:val="24"/>
        </w:rPr>
        <w:t>=162 when Ra=10</w:t>
      </w:r>
      <w:r w:rsidRPr="00210B23">
        <w:rPr>
          <w:szCs w:val="24"/>
          <w:vertAlign w:val="superscript"/>
        </w:rPr>
        <w:t>6</w:t>
      </w:r>
      <w:r w:rsidRPr="00210B23">
        <w:rPr>
          <w:szCs w:val="24"/>
        </w:rPr>
        <w:t xml:space="preserve"> for dominant convection effects.</w:t>
      </w:r>
      <w:r w:rsidRPr="00210B23">
        <w:rPr>
          <w:rFonts w:eastAsia="Calibri"/>
          <w:szCs w:val="24"/>
        </w:rPr>
        <w:t xml:space="preserve"> This is because at lesserRa=10</w:t>
      </w:r>
      <w:r w:rsidRPr="00210B23">
        <w:rPr>
          <w:rFonts w:eastAsia="Calibri"/>
          <w:szCs w:val="24"/>
          <w:vertAlign w:val="superscript"/>
        </w:rPr>
        <w:t>4</w:t>
      </w:r>
      <w:r w:rsidRPr="00210B23">
        <w:rPr>
          <w:rFonts w:eastAsia="Calibri"/>
          <w:szCs w:val="24"/>
        </w:rPr>
        <w:t xml:space="preserve"> the buoyancy force  isunable to overcome the viscous force for Rayleigh number upto </w:t>
      </w:r>
      <w:r w:rsidRPr="00824DD9">
        <w:rPr>
          <w:rFonts w:eastAsia="Calibri"/>
          <w:position w:val="-6"/>
        </w:rPr>
        <w:object w:dxaOrig="360" w:dyaOrig="320">
          <v:shape id="_x0000_i1054" type="#_x0000_t75" style="width:17.75pt;height:15.6pt" o:ole="">
            <v:imagedata r:id="rId67" o:title=""/>
          </v:shape>
          <o:OLEObject Type="Embed" ProgID="Equation.DSMT4" ShapeID="_x0000_i1054" DrawAspect="Content" ObjectID="_1612205718" r:id="rId68"/>
        </w:object>
      </w:r>
      <w:r w:rsidRPr="00210B23">
        <w:rPr>
          <w:rFonts w:eastAsia="Calibri"/>
          <w:szCs w:val="24"/>
        </w:rPr>
        <w:t xml:space="preserve"> and accordingly the dominant mode of thermal energy transport is diffusion of heat. Isotherms from Fig 2demonstrate twisting at higher Ra.</w:t>
      </w:r>
    </w:p>
    <w:p w:rsidR="00210B23" w:rsidRPr="00210B23" w:rsidRDefault="00210B23" w:rsidP="00EA3DFD">
      <w:pPr>
        <w:autoSpaceDE w:val="0"/>
        <w:autoSpaceDN w:val="0"/>
        <w:adjustRightInd w:val="0"/>
        <w:ind w:firstLine="0"/>
        <w:rPr>
          <w:rFonts w:ascii="Arial" w:hAnsi="Arial" w:cs="Arial"/>
          <w:color w:val="002060"/>
          <w:szCs w:val="24"/>
        </w:rPr>
      </w:pPr>
      <w:r w:rsidRPr="00210B23">
        <w:rPr>
          <w:rFonts w:ascii="Arial" w:hAnsi="Arial" w:cs="Arial"/>
          <w:color w:val="002060"/>
          <w:szCs w:val="24"/>
        </w:rPr>
        <w:t>4.2 Nusselt Number</w:t>
      </w:r>
    </w:p>
    <w:p w:rsidR="00210B23" w:rsidRPr="00210B23" w:rsidRDefault="00210B23" w:rsidP="00210B23">
      <w:pPr>
        <w:autoSpaceDE w:val="0"/>
        <w:autoSpaceDN w:val="0"/>
        <w:adjustRightInd w:val="0"/>
        <w:ind w:left="720" w:firstLine="0"/>
        <w:rPr>
          <w:szCs w:val="24"/>
        </w:rPr>
      </w:pPr>
      <w:r w:rsidRPr="00210B23">
        <w:rPr>
          <w:szCs w:val="24"/>
        </w:rPr>
        <w:t>In order to analyse the influences of Rayleigh number and Darcy number on the heat transfer characteristics, the variation of local Nusselt number along,bottom heated and cooled vertical walls is plotted for Da=10</w:t>
      </w:r>
      <w:r w:rsidRPr="00210B23">
        <w:rPr>
          <w:szCs w:val="24"/>
          <w:vertAlign w:val="superscript"/>
        </w:rPr>
        <w:t>-2</w:t>
      </w:r>
      <w:r w:rsidRPr="00210B23">
        <w:rPr>
          <w:szCs w:val="24"/>
        </w:rPr>
        <w:t xml:space="preserve"> As can be seen from Figure 5(c) that for</w:t>
      </w:r>
      <w:r w:rsidRPr="00210B23">
        <w:rPr>
          <w:rFonts w:eastAsia="Calibri"/>
          <w:position w:val="-6"/>
          <w:szCs w:val="24"/>
        </w:rPr>
        <w:t xml:space="preserve"> </w:t>
      </w:r>
      <w:r w:rsidRPr="00210B23">
        <w:rPr>
          <w:szCs w:val="24"/>
        </w:rPr>
        <w:t>Da=10</w:t>
      </w:r>
      <w:r w:rsidRPr="00210B23">
        <w:rPr>
          <w:szCs w:val="24"/>
          <w:vertAlign w:val="superscript"/>
        </w:rPr>
        <w:t>-3</w:t>
      </w:r>
      <w:r w:rsidRPr="00210B23">
        <w:rPr>
          <w:szCs w:val="24"/>
        </w:rPr>
        <w:t xml:space="preserve"> the variation of local Nusselt number at the bottom wall with Rayleigh number is invariant both qualitatively and quantitatively for Rayleigh number up to </w:t>
      </w:r>
      <w:r w:rsidRPr="00824DD9">
        <w:rPr>
          <w:rFonts w:eastAsia="Calibri"/>
          <w:position w:val="-6"/>
        </w:rPr>
        <w:object w:dxaOrig="360" w:dyaOrig="320">
          <v:shape id="_x0000_i1055" type="#_x0000_t75" style="width:17.75pt;height:15.6pt" o:ole="">
            <v:imagedata r:id="rId69" o:title=""/>
          </v:shape>
          <o:OLEObject Type="Embed" ProgID="Equation.DSMT4" ShapeID="_x0000_i1055" DrawAspect="Content" ObjectID="_1612205719" r:id="rId70"/>
        </w:object>
      </w:r>
      <w:r w:rsidRPr="00210B23">
        <w:rPr>
          <w:rFonts w:eastAsia="Calibri"/>
          <w:szCs w:val="24"/>
        </w:rPr>
        <w:t xml:space="preserve"> owing to the fact that buoyancy force dominates over viscous force although permeability of the medium is relatively high and accordingly the heat transfer is mainly dominated by conduction. For Rayleigh number beyond 10</w:t>
      </w:r>
      <w:r w:rsidRPr="00210B23">
        <w:rPr>
          <w:rFonts w:eastAsia="Calibri"/>
          <w:szCs w:val="24"/>
          <w:vertAlign w:val="superscript"/>
        </w:rPr>
        <w:t>4</w:t>
      </w:r>
      <w:r w:rsidRPr="00210B23">
        <w:rPr>
          <w:rFonts w:eastAsia="Calibri"/>
          <w:szCs w:val="24"/>
        </w:rPr>
        <w:t>, the local Nusselt number is strongly influenced by Rayleigh number, the boundary condition imposed (Sinusoidal nature) and the enhancement in the Nusselt number is quitesignificant for Ra=10</w:t>
      </w:r>
      <w:r w:rsidRPr="00210B23">
        <w:rPr>
          <w:rFonts w:eastAsia="Calibri"/>
          <w:szCs w:val="24"/>
          <w:vertAlign w:val="superscript"/>
        </w:rPr>
        <w:t>6</w:t>
      </w:r>
      <w:r w:rsidRPr="00210B23">
        <w:rPr>
          <w:rFonts w:eastAsia="Calibri"/>
          <w:szCs w:val="24"/>
        </w:rPr>
        <w:t>. Local Nu for cold walls are lesser and they demonstrate a local jump at Y=0.2 for lesser Ra values because of presence of isotherm pattern.</w:t>
      </w:r>
    </w:p>
    <w:p w:rsidR="00210B23" w:rsidRPr="00210B23" w:rsidRDefault="00210B23" w:rsidP="00210B23">
      <w:pPr>
        <w:autoSpaceDE w:val="0"/>
        <w:autoSpaceDN w:val="0"/>
        <w:adjustRightInd w:val="0"/>
        <w:ind w:left="720" w:firstLine="0"/>
        <w:jc w:val="center"/>
        <w:rPr>
          <w:b/>
          <w:szCs w:val="24"/>
        </w:rPr>
      </w:pPr>
      <w:r w:rsidRPr="00824DD9">
        <w:rPr>
          <w:noProof/>
          <w:lang w:val="en-IN" w:eastAsia="en-IN"/>
        </w:rPr>
        <w:drawing>
          <wp:inline distT="0" distB="0" distL="0" distR="0">
            <wp:extent cx="1209249" cy="987552"/>
            <wp:effectExtent l="19050" t="0" r="0" b="0"/>
            <wp:docPr id="61" name="Picture 61" descr="C:\Users\SANTUNU DUTTA\Desktop\ICHMT_ISHMT 19\NIT warangal_ICAMER - 2019\Plots\local Nu_Da1e-2_Ra1e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SANTUNU DUTTA\Desktop\ICHMT_ISHMT 19\NIT warangal_ICAMER - 2019\Plots\local Nu_Da1e-2_Ra1e3_6.png"/>
                    <pic:cNvPicPr>
                      <a:picLocks noChangeAspect="1" noChangeArrowheads="1"/>
                    </pic:cNvPicPr>
                  </pic:nvPicPr>
                  <pic:blipFill>
                    <a:blip r:embed="rId71" cstate="print"/>
                    <a:srcRect/>
                    <a:stretch>
                      <a:fillRect/>
                    </a:stretch>
                  </pic:blipFill>
                  <pic:spPr bwMode="auto">
                    <a:xfrm>
                      <a:off x="0" y="0"/>
                      <a:ext cx="1220844" cy="997021"/>
                    </a:xfrm>
                    <a:prstGeom prst="rect">
                      <a:avLst/>
                    </a:prstGeom>
                    <a:noFill/>
                    <a:ln w="9525">
                      <a:noFill/>
                      <a:miter lim="800000"/>
                      <a:headEnd/>
                      <a:tailEnd/>
                    </a:ln>
                  </pic:spPr>
                </pic:pic>
              </a:graphicData>
            </a:graphic>
          </wp:inline>
        </w:drawing>
      </w:r>
      <w:r w:rsidRPr="00824DD9">
        <w:rPr>
          <w:noProof/>
          <w:lang w:val="en-IN" w:eastAsia="en-IN"/>
        </w:rPr>
        <w:drawing>
          <wp:inline distT="0" distB="0" distL="0" distR="0">
            <wp:extent cx="1188777" cy="987850"/>
            <wp:effectExtent l="19050" t="0" r="0" b="0"/>
            <wp:docPr id="62" name="Picture 62" descr="C:\Users\SANTUNU DUTTA\Desktop\ICHMT_ISHMT 19\NIT warangal_ICAMER - 2019\Plots\local Nu cold__Da1e-2_Ra1e3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SANTUNU DUTTA\Desktop\ICHMT_ISHMT 19\NIT warangal_ICAMER - 2019\Plots\local Nu cold__Da1e-2_Ra1e3_6.png"/>
                    <pic:cNvPicPr>
                      <a:picLocks noChangeAspect="1" noChangeArrowheads="1"/>
                    </pic:cNvPicPr>
                  </pic:nvPicPr>
                  <pic:blipFill>
                    <a:blip r:embed="rId72" cstate="print"/>
                    <a:srcRect/>
                    <a:stretch>
                      <a:fillRect/>
                    </a:stretch>
                  </pic:blipFill>
                  <pic:spPr bwMode="auto">
                    <a:xfrm>
                      <a:off x="0" y="0"/>
                      <a:ext cx="1193256" cy="991572"/>
                    </a:xfrm>
                    <a:prstGeom prst="rect">
                      <a:avLst/>
                    </a:prstGeom>
                    <a:noFill/>
                    <a:ln w="9525">
                      <a:noFill/>
                      <a:miter lim="800000"/>
                      <a:headEnd/>
                      <a:tailEnd/>
                    </a:ln>
                  </pic:spPr>
                </pic:pic>
              </a:graphicData>
            </a:graphic>
          </wp:inline>
        </w:drawing>
      </w:r>
    </w:p>
    <w:p w:rsidR="00210B23" w:rsidRPr="00210B23" w:rsidRDefault="00EA3DFD" w:rsidP="00210B23">
      <w:pPr>
        <w:ind w:left="720" w:firstLine="0"/>
        <w:jc w:val="center"/>
        <w:rPr>
          <w:rFonts w:ascii="Arial" w:hAnsi="Arial" w:cs="Arial"/>
          <w:szCs w:val="24"/>
          <w:vertAlign w:val="superscript"/>
        </w:rPr>
      </w:pPr>
      <w:r>
        <w:rPr>
          <w:rFonts w:ascii="Arial" w:hAnsi="Arial" w:cs="Arial"/>
          <w:szCs w:val="24"/>
        </w:rPr>
        <w:t>Fig.</w:t>
      </w:r>
      <w:r w:rsidR="00210B23" w:rsidRPr="00EA3DFD">
        <w:rPr>
          <w:rFonts w:ascii="Arial" w:hAnsi="Arial" w:cs="Arial"/>
          <w:szCs w:val="24"/>
        </w:rPr>
        <w:t xml:space="preserve"> 3</w:t>
      </w:r>
      <w:r w:rsidR="00210B23" w:rsidRPr="00210B23">
        <w:rPr>
          <w:rFonts w:ascii="Arial" w:hAnsi="Arial" w:cs="Arial"/>
          <w:b/>
          <w:szCs w:val="24"/>
        </w:rPr>
        <w:t>.</w:t>
      </w:r>
      <w:r w:rsidR="00210B23" w:rsidRPr="00210B23">
        <w:rPr>
          <w:rFonts w:ascii="Arial" w:hAnsi="Arial" w:cs="Arial"/>
          <w:szCs w:val="24"/>
        </w:rPr>
        <w:t xml:space="preserve"> </w:t>
      </w:r>
      <w:r w:rsidR="00210B23" w:rsidRPr="00210B23">
        <w:rPr>
          <w:rFonts w:ascii="Arial" w:hAnsi="Arial" w:cs="Arial"/>
          <w:noProof/>
          <w:szCs w:val="24"/>
        </w:rPr>
        <w:t xml:space="preserve">Variation of local Nusselt number on  hot and cooled vertical walls for different values of Rayleigh number  </w:t>
      </w:r>
      <w:r w:rsidR="00210B23" w:rsidRPr="00210B23">
        <w:rPr>
          <w:rFonts w:ascii="Arial" w:hAnsi="Arial" w:cs="Arial"/>
          <w:szCs w:val="24"/>
        </w:rPr>
        <w:t>(a) Da=10</w:t>
      </w:r>
      <w:r w:rsidR="00210B23" w:rsidRPr="00210B23">
        <w:rPr>
          <w:rFonts w:ascii="Arial" w:hAnsi="Arial" w:cs="Arial"/>
          <w:szCs w:val="24"/>
          <w:vertAlign w:val="superscript"/>
        </w:rPr>
        <w:t>-2</w:t>
      </w:r>
    </w:p>
    <w:p w:rsidR="00210B23" w:rsidRPr="00407B06" w:rsidRDefault="00210B23" w:rsidP="00210B23">
      <w:pPr>
        <w:pStyle w:val="NoSpacing"/>
        <w:rPr>
          <w:rFonts w:ascii="Arial" w:hAnsi="Arial" w:cs="Arial"/>
          <w:color w:val="002060"/>
        </w:rPr>
      </w:pPr>
      <w:r w:rsidRPr="00407B06">
        <w:rPr>
          <w:rFonts w:ascii="Arial" w:hAnsi="Arial" w:cs="Arial"/>
          <w:color w:val="002060"/>
        </w:rPr>
        <w:t>4.3 Average Nu</w:t>
      </w:r>
    </w:p>
    <w:p w:rsidR="00210B23" w:rsidRPr="00210B23" w:rsidRDefault="00210B23" w:rsidP="00210B23">
      <w:pPr>
        <w:ind w:left="720" w:firstLine="0"/>
        <w:rPr>
          <w:color w:val="000000" w:themeColor="text1"/>
          <w:szCs w:val="24"/>
        </w:rPr>
      </w:pPr>
      <w:r w:rsidRPr="00210B23">
        <w:rPr>
          <w:color w:val="000000" w:themeColor="text1"/>
          <w:szCs w:val="24"/>
        </w:rPr>
        <w:lastRenderedPageBreak/>
        <w:t xml:space="preserve">Average Nusselt number is demonstrated in Table 3 and  it is found that  the </w:t>
      </w:r>
      <w:r w:rsidRPr="00210B23">
        <w:rPr>
          <w:rFonts w:eastAsia="Calibri"/>
          <w:color w:val="000000" w:themeColor="text1"/>
          <w:szCs w:val="24"/>
        </w:rPr>
        <w:t xml:space="preserve">values on bottom wall or cold walls are increased with increase in Darcy number and the rate of  enhancement is more profound when Darcy number is changed from </w:t>
      </w:r>
      <w:r w:rsidRPr="00824DD9">
        <w:rPr>
          <w:rFonts w:eastAsia="Calibri"/>
          <w:position w:val="-6"/>
        </w:rPr>
        <w:object w:dxaOrig="440" w:dyaOrig="320">
          <v:shape id="_x0000_i1056" type="#_x0000_t75" style="width:22.05pt;height:15.6pt" o:ole="">
            <v:imagedata r:id="rId73" o:title=""/>
          </v:shape>
          <o:OLEObject Type="Embed" ProgID="Equation.DSMT4" ShapeID="_x0000_i1056" DrawAspect="Content" ObjectID="_1612205720" r:id="rId74"/>
        </w:object>
      </w:r>
      <w:r w:rsidRPr="00210B23">
        <w:rPr>
          <w:rFonts w:eastAsia="Calibri"/>
          <w:color w:val="000000" w:themeColor="text1"/>
          <w:szCs w:val="24"/>
        </w:rPr>
        <w:t xml:space="preserve"> to 10</w:t>
      </w:r>
      <w:r w:rsidRPr="00210B23">
        <w:rPr>
          <w:rFonts w:eastAsia="Calibri"/>
          <w:color w:val="000000" w:themeColor="text1"/>
          <w:szCs w:val="24"/>
          <w:vertAlign w:val="superscript"/>
        </w:rPr>
        <w:t>-2</w:t>
      </w:r>
      <w:r w:rsidRPr="00210B23">
        <w:rPr>
          <w:rFonts w:eastAsia="Calibri"/>
          <w:color w:val="000000" w:themeColor="text1"/>
          <w:szCs w:val="24"/>
        </w:rPr>
        <w:t xml:space="preserve"> with increase in permeability of the fluid.</w:t>
      </w:r>
    </w:p>
    <w:p w:rsidR="00210B23" w:rsidRDefault="00210B23" w:rsidP="00210B23">
      <w:pPr>
        <w:autoSpaceDE w:val="0"/>
        <w:autoSpaceDN w:val="0"/>
        <w:adjustRightInd w:val="0"/>
        <w:ind w:left="720" w:firstLine="0"/>
        <w:jc w:val="center"/>
        <w:rPr>
          <w:szCs w:val="24"/>
        </w:rPr>
      </w:pPr>
      <w:r w:rsidRPr="00210B23">
        <w:rPr>
          <w:szCs w:val="24"/>
        </w:rPr>
        <w:t>Table 3: Average Nusselt Number on the bottom and vertical wall for different values of Rayleigh number and Darcy number</w:t>
      </w:r>
    </w:p>
    <w:p w:rsidR="00EA3DFD" w:rsidRPr="00210B23" w:rsidRDefault="00EA3DFD" w:rsidP="00210B23">
      <w:pPr>
        <w:autoSpaceDE w:val="0"/>
        <w:autoSpaceDN w:val="0"/>
        <w:adjustRightInd w:val="0"/>
        <w:ind w:left="720" w:firstLine="0"/>
        <w:jc w:val="center"/>
        <w:rPr>
          <w:b/>
          <w:szCs w:val="24"/>
        </w:rPr>
      </w:pPr>
    </w:p>
    <w:tbl>
      <w:tblPr>
        <w:tblW w:w="8361" w:type="dxa"/>
        <w:jc w:val="center"/>
        <w:tblBorders>
          <w:top w:val="single" w:sz="4" w:space="0" w:color="auto"/>
          <w:bottom w:val="single" w:sz="4" w:space="0" w:color="auto"/>
        </w:tblBorders>
        <w:tblLook w:val="04A0"/>
      </w:tblPr>
      <w:tblGrid>
        <w:gridCol w:w="1027"/>
        <w:gridCol w:w="1196"/>
        <w:gridCol w:w="1335"/>
        <w:gridCol w:w="1196"/>
        <w:gridCol w:w="1196"/>
        <w:gridCol w:w="1215"/>
        <w:gridCol w:w="1196"/>
      </w:tblGrid>
      <w:tr w:rsidR="00210B23" w:rsidRPr="00354FA8" w:rsidTr="00210B23">
        <w:trPr>
          <w:jc w:val="center"/>
        </w:trPr>
        <w:tc>
          <w:tcPr>
            <w:tcW w:w="1027" w:type="dxa"/>
            <w:vMerge w:val="restart"/>
            <w:tcBorders>
              <w:top w:val="single" w:sz="4" w:space="0" w:color="auto"/>
              <w:bottom w:val="single" w:sz="4" w:space="0" w:color="auto"/>
            </w:tcBorders>
            <w:shd w:val="clear" w:color="auto" w:fill="auto"/>
          </w:tcPr>
          <w:p w:rsidR="00210B23" w:rsidRPr="00354FA8" w:rsidRDefault="00210B23" w:rsidP="00934812">
            <w:pPr>
              <w:pStyle w:val="NoSpacing"/>
            </w:pPr>
            <w:r w:rsidRPr="00354FA8">
              <w:t>Ra</w:t>
            </w:r>
          </w:p>
        </w:tc>
        <w:tc>
          <w:tcPr>
            <w:tcW w:w="3727" w:type="dxa"/>
            <w:gridSpan w:val="3"/>
            <w:tcBorders>
              <w:top w:val="single" w:sz="4" w:space="0" w:color="auto"/>
              <w:bottom w:val="single" w:sz="4" w:space="0" w:color="auto"/>
            </w:tcBorders>
            <w:shd w:val="clear" w:color="auto" w:fill="auto"/>
          </w:tcPr>
          <w:p w:rsidR="00210B23" w:rsidRPr="00354FA8" w:rsidRDefault="00210B23" w:rsidP="00934812">
            <w:pPr>
              <w:pStyle w:val="NoSpacing"/>
            </w:pPr>
            <w:r w:rsidRPr="00354FA8">
              <w:t>Average Nusselt number on bottom wall</w:t>
            </w:r>
          </w:p>
        </w:tc>
        <w:tc>
          <w:tcPr>
            <w:tcW w:w="3607" w:type="dxa"/>
            <w:gridSpan w:val="3"/>
            <w:tcBorders>
              <w:top w:val="single" w:sz="4" w:space="0" w:color="auto"/>
              <w:bottom w:val="single" w:sz="4" w:space="0" w:color="auto"/>
            </w:tcBorders>
            <w:shd w:val="clear" w:color="auto" w:fill="auto"/>
          </w:tcPr>
          <w:p w:rsidR="00210B23" w:rsidRPr="00354FA8" w:rsidRDefault="00210B23" w:rsidP="00934812">
            <w:pPr>
              <w:pStyle w:val="NoSpacing"/>
              <w:rPr>
                <w:b/>
              </w:rPr>
            </w:pPr>
            <w:r w:rsidRPr="00354FA8">
              <w:t xml:space="preserve">Average Nusselt number on vertical </w:t>
            </w:r>
            <w:r>
              <w:t xml:space="preserve"> and arched cold </w:t>
            </w:r>
            <w:r w:rsidRPr="00354FA8">
              <w:t>wall</w:t>
            </w:r>
          </w:p>
        </w:tc>
      </w:tr>
      <w:tr w:rsidR="00210B23" w:rsidRPr="00354FA8" w:rsidTr="00210B23">
        <w:trPr>
          <w:jc w:val="center"/>
        </w:trPr>
        <w:tc>
          <w:tcPr>
            <w:tcW w:w="1027" w:type="dxa"/>
            <w:vMerge/>
            <w:tcBorders>
              <w:top w:val="nil"/>
              <w:bottom w:val="single" w:sz="4" w:space="0" w:color="auto"/>
            </w:tcBorders>
            <w:shd w:val="clear" w:color="auto" w:fill="auto"/>
          </w:tcPr>
          <w:p w:rsidR="00210B23" w:rsidRPr="00354FA8" w:rsidRDefault="00210B23" w:rsidP="00934812">
            <w:pPr>
              <w:pStyle w:val="NoSpacing"/>
              <w:rPr>
                <w:b/>
              </w:rPr>
            </w:pPr>
          </w:p>
        </w:tc>
        <w:tc>
          <w:tcPr>
            <w:tcW w:w="1196"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-4</w:t>
            </w:r>
          </w:p>
        </w:tc>
        <w:tc>
          <w:tcPr>
            <w:tcW w:w="1335"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-3</w:t>
            </w:r>
          </w:p>
        </w:tc>
        <w:tc>
          <w:tcPr>
            <w:tcW w:w="1196"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-2</w:t>
            </w:r>
          </w:p>
        </w:tc>
        <w:tc>
          <w:tcPr>
            <w:tcW w:w="1196"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-4</w:t>
            </w:r>
          </w:p>
        </w:tc>
        <w:tc>
          <w:tcPr>
            <w:tcW w:w="1215"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-3</w:t>
            </w:r>
          </w:p>
        </w:tc>
        <w:tc>
          <w:tcPr>
            <w:tcW w:w="1196" w:type="dxa"/>
            <w:tcBorders>
              <w:top w:val="single" w:sz="4" w:space="0" w:color="auto"/>
              <w:bottom w:val="single" w:sz="4" w:space="0" w:color="auto"/>
            </w:tcBorders>
            <w:shd w:val="clear" w:color="auto" w:fill="auto"/>
          </w:tcPr>
          <w:p w:rsidR="00210B23" w:rsidRPr="00354FA8" w:rsidRDefault="00210B23" w:rsidP="00934812">
            <w:pPr>
              <w:pStyle w:val="NoSpacing"/>
              <w:rPr>
                <w:b/>
              </w:rPr>
            </w:pPr>
            <w:r>
              <w:rPr>
                <w:position w:val="-6"/>
              </w:rPr>
              <w:t>Da=10</w:t>
            </w:r>
            <w:r w:rsidRPr="00824DD9">
              <w:rPr>
                <w:position w:val="-6"/>
                <w:vertAlign w:val="superscript"/>
              </w:rPr>
              <w:t>-2</w:t>
            </w:r>
          </w:p>
        </w:tc>
      </w:tr>
      <w:tr w:rsidR="00210B23" w:rsidRPr="00354FA8" w:rsidTr="00210B23">
        <w:trPr>
          <w:jc w:val="center"/>
        </w:trPr>
        <w:tc>
          <w:tcPr>
            <w:tcW w:w="1027" w:type="dxa"/>
            <w:tcBorders>
              <w:top w:val="single" w:sz="4" w:space="0" w:color="auto"/>
            </w:tcBorders>
            <w:shd w:val="clear" w:color="auto" w:fill="auto"/>
          </w:tcPr>
          <w:p w:rsidR="00210B23" w:rsidRPr="00354FA8" w:rsidRDefault="00210B23" w:rsidP="00934812">
            <w:pPr>
              <w:pStyle w:val="NoSpacing"/>
              <w:rPr>
                <w:b/>
              </w:rPr>
            </w:pPr>
            <w:r w:rsidRPr="00354FA8">
              <w:rPr>
                <w:position w:val="-6"/>
              </w:rPr>
              <w:object w:dxaOrig="360" w:dyaOrig="320">
                <v:shape id="_x0000_i1057" type="#_x0000_t75" style="width:18.25pt;height:15.6pt" o:ole="">
                  <v:imagedata r:id="rId75" o:title=""/>
                </v:shape>
                <o:OLEObject Type="Embed" ProgID="Equation.DSMT4" ShapeID="_x0000_i1057" DrawAspect="Content" ObjectID="_1612205721" r:id="rId76"/>
              </w:object>
            </w:r>
          </w:p>
        </w:tc>
        <w:tc>
          <w:tcPr>
            <w:tcW w:w="1196" w:type="dxa"/>
            <w:tcBorders>
              <w:top w:val="single" w:sz="4" w:space="0" w:color="auto"/>
            </w:tcBorders>
            <w:shd w:val="clear" w:color="auto" w:fill="auto"/>
          </w:tcPr>
          <w:p w:rsidR="00210B23" w:rsidRPr="00354FA8" w:rsidRDefault="00210B23" w:rsidP="00934812">
            <w:pPr>
              <w:pStyle w:val="NoSpacing"/>
              <w:rPr>
                <w:color w:val="000000"/>
              </w:rPr>
            </w:pPr>
            <w:r w:rsidRPr="00354FA8">
              <w:t>0.854</w:t>
            </w:r>
          </w:p>
        </w:tc>
        <w:tc>
          <w:tcPr>
            <w:tcW w:w="1335" w:type="dxa"/>
            <w:tcBorders>
              <w:top w:val="single" w:sz="4" w:space="0" w:color="auto"/>
            </w:tcBorders>
            <w:shd w:val="clear" w:color="auto" w:fill="auto"/>
          </w:tcPr>
          <w:p w:rsidR="00210B23" w:rsidRPr="00354FA8" w:rsidRDefault="00210B23" w:rsidP="00934812">
            <w:pPr>
              <w:pStyle w:val="NoSpacing"/>
              <w:rPr>
                <w:color w:val="000000"/>
              </w:rPr>
            </w:pPr>
            <w:r>
              <w:rPr>
                <w:color w:val="000000"/>
              </w:rPr>
              <w:t>0.856</w:t>
            </w:r>
          </w:p>
        </w:tc>
        <w:tc>
          <w:tcPr>
            <w:tcW w:w="1196" w:type="dxa"/>
            <w:tcBorders>
              <w:top w:val="single" w:sz="4" w:space="0" w:color="auto"/>
            </w:tcBorders>
            <w:shd w:val="clear" w:color="auto" w:fill="auto"/>
          </w:tcPr>
          <w:p w:rsidR="00210B23" w:rsidRPr="00354FA8" w:rsidRDefault="00210B23" w:rsidP="00934812">
            <w:pPr>
              <w:pStyle w:val="NoSpacing"/>
              <w:rPr>
                <w:color w:val="000000"/>
              </w:rPr>
            </w:pPr>
            <w:r w:rsidRPr="00354FA8">
              <w:t>0.86</w:t>
            </w:r>
            <w:r>
              <w:t>1</w:t>
            </w:r>
          </w:p>
        </w:tc>
        <w:tc>
          <w:tcPr>
            <w:tcW w:w="1196" w:type="dxa"/>
            <w:tcBorders>
              <w:top w:val="single" w:sz="4" w:space="0" w:color="auto"/>
            </w:tcBorders>
            <w:shd w:val="clear" w:color="auto" w:fill="auto"/>
          </w:tcPr>
          <w:p w:rsidR="00210B23" w:rsidRPr="00354FA8" w:rsidRDefault="00210B23" w:rsidP="00934812">
            <w:pPr>
              <w:pStyle w:val="NoSpacing"/>
              <w:rPr>
                <w:color w:val="000000"/>
              </w:rPr>
            </w:pPr>
            <w:r w:rsidRPr="00354FA8">
              <w:t>0.68</w:t>
            </w:r>
            <w:r>
              <w:t>9</w:t>
            </w:r>
          </w:p>
        </w:tc>
        <w:tc>
          <w:tcPr>
            <w:tcW w:w="1215" w:type="dxa"/>
            <w:tcBorders>
              <w:top w:val="single" w:sz="4" w:space="0" w:color="auto"/>
            </w:tcBorders>
            <w:shd w:val="clear" w:color="auto" w:fill="auto"/>
          </w:tcPr>
          <w:p w:rsidR="00210B23" w:rsidRPr="00354FA8" w:rsidRDefault="00210B23" w:rsidP="00934812">
            <w:pPr>
              <w:pStyle w:val="NoSpacing"/>
              <w:rPr>
                <w:color w:val="000000"/>
              </w:rPr>
            </w:pPr>
            <w:r>
              <w:rPr>
                <w:color w:val="000000"/>
              </w:rPr>
              <w:t>0.687</w:t>
            </w:r>
          </w:p>
        </w:tc>
        <w:tc>
          <w:tcPr>
            <w:tcW w:w="1196" w:type="dxa"/>
            <w:tcBorders>
              <w:top w:val="single" w:sz="4" w:space="0" w:color="auto"/>
            </w:tcBorders>
            <w:shd w:val="clear" w:color="auto" w:fill="auto"/>
          </w:tcPr>
          <w:p w:rsidR="00210B23" w:rsidRPr="00354FA8" w:rsidRDefault="00210B23" w:rsidP="00934812">
            <w:pPr>
              <w:pStyle w:val="NoSpacing"/>
              <w:rPr>
                <w:color w:val="000000"/>
              </w:rPr>
            </w:pPr>
            <w:r w:rsidRPr="00354FA8">
              <w:t>0.687</w:t>
            </w:r>
          </w:p>
        </w:tc>
      </w:tr>
      <w:tr w:rsidR="00210B23" w:rsidRPr="00354FA8" w:rsidTr="00210B23">
        <w:trPr>
          <w:jc w:val="center"/>
        </w:trPr>
        <w:tc>
          <w:tcPr>
            <w:tcW w:w="1027" w:type="dxa"/>
            <w:shd w:val="clear" w:color="auto" w:fill="auto"/>
          </w:tcPr>
          <w:p w:rsidR="00210B23" w:rsidRPr="00354FA8" w:rsidRDefault="00210B23" w:rsidP="00934812">
            <w:pPr>
              <w:pStyle w:val="NoSpacing"/>
              <w:rPr>
                <w:b/>
              </w:rPr>
            </w:pPr>
            <w:r w:rsidRPr="00354FA8">
              <w:rPr>
                <w:position w:val="-6"/>
              </w:rPr>
              <w:object w:dxaOrig="360" w:dyaOrig="320">
                <v:shape id="_x0000_i1058" type="#_x0000_t75" style="width:18.25pt;height:15.6pt" o:ole="">
                  <v:imagedata r:id="rId77" o:title=""/>
                </v:shape>
                <o:OLEObject Type="Embed" ProgID="Equation.DSMT4" ShapeID="_x0000_i1058" DrawAspect="Content" ObjectID="_1612205722" r:id="rId78"/>
              </w:object>
            </w:r>
          </w:p>
        </w:tc>
        <w:tc>
          <w:tcPr>
            <w:tcW w:w="1196" w:type="dxa"/>
            <w:shd w:val="clear" w:color="auto" w:fill="auto"/>
          </w:tcPr>
          <w:p w:rsidR="00210B23" w:rsidRPr="00354FA8" w:rsidRDefault="00210B23" w:rsidP="00934812">
            <w:pPr>
              <w:pStyle w:val="NoSpacing"/>
            </w:pPr>
            <w:r w:rsidRPr="00354FA8">
              <w:t>0.856</w:t>
            </w:r>
          </w:p>
        </w:tc>
        <w:tc>
          <w:tcPr>
            <w:tcW w:w="1335" w:type="dxa"/>
            <w:shd w:val="clear" w:color="auto" w:fill="auto"/>
          </w:tcPr>
          <w:p w:rsidR="00210B23" w:rsidRPr="00354FA8" w:rsidRDefault="00210B23" w:rsidP="00934812">
            <w:pPr>
              <w:pStyle w:val="NoSpacing"/>
              <w:rPr>
                <w:color w:val="000000"/>
              </w:rPr>
            </w:pPr>
            <w:r>
              <w:rPr>
                <w:color w:val="000000"/>
              </w:rPr>
              <w:t>0.872</w:t>
            </w:r>
          </w:p>
        </w:tc>
        <w:tc>
          <w:tcPr>
            <w:tcW w:w="1196" w:type="dxa"/>
            <w:shd w:val="clear" w:color="auto" w:fill="auto"/>
          </w:tcPr>
          <w:p w:rsidR="00210B23" w:rsidRPr="00354FA8" w:rsidRDefault="00210B23" w:rsidP="00934812">
            <w:pPr>
              <w:pStyle w:val="NoSpacing"/>
              <w:rPr>
                <w:color w:val="000000"/>
              </w:rPr>
            </w:pPr>
            <w:r w:rsidRPr="00354FA8">
              <w:t>0.999</w:t>
            </w:r>
          </w:p>
        </w:tc>
        <w:tc>
          <w:tcPr>
            <w:tcW w:w="1196" w:type="dxa"/>
            <w:shd w:val="clear" w:color="auto" w:fill="auto"/>
          </w:tcPr>
          <w:p w:rsidR="00210B23" w:rsidRPr="00354FA8" w:rsidRDefault="00210B23" w:rsidP="00934812">
            <w:pPr>
              <w:pStyle w:val="NoSpacing"/>
              <w:rPr>
                <w:color w:val="000000"/>
              </w:rPr>
            </w:pPr>
            <w:r w:rsidRPr="00354FA8">
              <w:t>0.689</w:t>
            </w:r>
          </w:p>
        </w:tc>
        <w:tc>
          <w:tcPr>
            <w:tcW w:w="1215" w:type="dxa"/>
            <w:shd w:val="clear" w:color="auto" w:fill="auto"/>
          </w:tcPr>
          <w:p w:rsidR="00210B23" w:rsidRPr="00354FA8" w:rsidRDefault="00210B23" w:rsidP="00934812">
            <w:pPr>
              <w:pStyle w:val="NoSpacing"/>
              <w:rPr>
                <w:color w:val="000000"/>
              </w:rPr>
            </w:pPr>
            <w:r>
              <w:rPr>
                <w:color w:val="000000"/>
              </w:rPr>
              <w:t>0.691</w:t>
            </w:r>
          </w:p>
        </w:tc>
        <w:tc>
          <w:tcPr>
            <w:tcW w:w="1196" w:type="dxa"/>
            <w:shd w:val="clear" w:color="auto" w:fill="auto"/>
          </w:tcPr>
          <w:p w:rsidR="00210B23" w:rsidRPr="00354FA8" w:rsidRDefault="00210B23" w:rsidP="00934812">
            <w:pPr>
              <w:pStyle w:val="NoSpacing"/>
            </w:pPr>
            <w:r w:rsidRPr="00354FA8">
              <w:t>0.690</w:t>
            </w:r>
          </w:p>
        </w:tc>
      </w:tr>
      <w:tr w:rsidR="00210B23" w:rsidRPr="00354FA8" w:rsidTr="00210B23">
        <w:trPr>
          <w:jc w:val="center"/>
        </w:trPr>
        <w:tc>
          <w:tcPr>
            <w:tcW w:w="1027" w:type="dxa"/>
            <w:shd w:val="clear" w:color="auto" w:fill="auto"/>
          </w:tcPr>
          <w:p w:rsidR="00210B23" w:rsidRPr="00354FA8" w:rsidRDefault="00210B23" w:rsidP="00934812">
            <w:pPr>
              <w:pStyle w:val="NoSpacing"/>
              <w:rPr>
                <w:b/>
              </w:rPr>
            </w:pPr>
            <w:r w:rsidRPr="00354FA8">
              <w:rPr>
                <w:position w:val="-6"/>
              </w:rPr>
              <w:object w:dxaOrig="360" w:dyaOrig="320">
                <v:shape id="_x0000_i1059" type="#_x0000_t75" style="width:18.25pt;height:15.6pt" o:ole="">
                  <v:imagedata r:id="rId79" o:title=""/>
                </v:shape>
                <o:OLEObject Type="Embed" ProgID="Equation.DSMT4" ShapeID="_x0000_i1059" DrawAspect="Content" ObjectID="_1612205723" r:id="rId80"/>
              </w:object>
            </w:r>
          </w:p>
        </w:tc>
        <w:tc>
          <w:tcPr>
            <w:tcW w:w="1196" w:type="dxa"/>
            <w:shd w:val="clear" w:color="auto" w:fill="auto"/>
          </w:tcPr>
          <w:p w:rsidR="00210B23" w:rsidRPr="00354FA8" w:rsidRDefault="00210B23" w:rsidP="00934812">
            <w:pPr>
              <w:pStyle w:val="NoSpacing"/>
              <w:rPr>
                <w:color w:val="000000"/>
              </w:rPr>
            </w:pPr>
            <w:r w:rsidRPr="00354FA8">
              <w:t>0.87</w:t>
            </w:r>
            <w:r>
              <w:t>8</w:t>
            </w:r>
          </w:p>
        </w:tc>
        <w:tc>
          <w:tcPr>
            <w:tcW w:w="1335" w:type="dxa"/>
            <w:shd w:val="clear" w:color="auto" w:fill="auto"/>
          </w:tcPr>
          <w:p w:rsidR="00210B23" w:rsidRPr="00354FA8" w:rsidRDefault="00210B23" w:rsidP="00934812">
            <w:pPr>
              <w:pStyle w:val="NoSpacing"/>
              <w:rPr>
                <w:color w:val="000000"/>
              </w:rPr>
            </w:pPr>
            <w:r>
              <w:rPr>
                <w:color w:val="000000"/>
              </w:rPr>
              <w:t>1.255</w:t>
            </w:r>
          </w:p>
        </w:tc>
        <w:tc>
          <w:tcPr>
            <w:tcW w:w="1196" w:type="dxa"/>
            <w:shd w:val="clear" w:color="auto" w:fill="auto"/>
          </w:tcPr>
          <w:p w:rsidR="00210B23" w:rsidRPr="00354FA8" w:rsidRDefault="00210B23" w:rsidP="00934812">
            <w:pPr>
              <w:pStyle w:val="NoSpacing"/>
              <w:rPr>
                <w:color w:val="000000"/>
              </w:rPr>
            </w:pPr>
            <w:r w:rsidRPr="00354FA8">
              <w:t>2.48</w:t>
            </w:r>
            <w:r>
              <w:t>4</w:t>
            </w:r>
          </w:p>
        </w:tc>
        <w:tc>
          <w:tcPr>
            <w:tcW w:w="1196" w:type="dxa"/>
            <w:shd w:val="clear" w:color="auto" w:fill="auto"/>
          </w:tcPr>
          <w:p w:rsidR="00210B23" w:rsidRPr="00354FA8" w:rsidRDefault="00210B23" w:rsidP="00934812">
            <w:pPr>
              <w:pStyle w:val="NoSpacing"/>
            </w:pPr>
            <w:r w:rsidRPr="00354FA8">
              <w:t>0.69</w:t>
            </w:r>
            <w:r>
              <w:t>6</w:t>
            </w:r>
          </w:p>
        </w:tc>
        <w:tc>
          <w:tcPr>
            <w:tcW w:w="1215" w:type="dxa"/>
            <w:shd w:val="clear" w:color="auto" w:fill="auto"/>
          </w:tcPr>
          <w:p w:rsidR="00210B23" w:rsidRPr="00354FA8" w:rsidRDefault="00210B23" w:rsidP="00934812">
            <w:pPr>
              <w:pStyle w:val="NoSpacing"/>
              <w:rPr>
                <w:color w:val="000000"/>
              </w:rPr>
            </w:pPr>
            <w:r>
              <w:rPr>
                <w:color w:val="000000"/>
              </w:rPr>
              <w:t>0.774</w:t>
            </w:r>
          </w:p>
        </w:tc>
        <w:tc>
          <w:tcPr>
            <w:tcW w:w="1196" w:type="dxa"/>
            <w:shd w:val="clear" w:color="auto" w:fill="auto"/>
          </w:tcPr>
          <w:p w:rsidR="00210B23" w:rsidRPr="00354FA8" w:rsidRDefault="00210B23" w:rsidP="00934812">
            <w:pPr>
              <w:pStyle w:val="NoSpacing"/>
              <w:rPr>
                <w:color w:val="000000"/>
              </w:rPr>
            </w:pPr>
            <w:r>
              <w:rPr>
                <w:color w:val="000000"/>
              </w:rPr>
              <w:t>1.457</w:t>
            </w:r>
          </w:p>
        </w:tc>
      </w:tr>
      <w:tr w:rsidR="00210B23" w:rsidRPr="00354FA8" w:rsidTr="00210B23">
        <w:trPr>
          <w:jc w:val="center"/>
        </w:trPr>
        <w:tc>
          <w:tcPr>
            <w:tcW w:w="1027" w:type="dxa"/>
            <w:shd w:val="clear" w:color="auto" w:fill="auto"/>
          </w:tcPr>
          <w:p w:rsidR="00210B23" w:rsidRPr="00354FA8" w:rsidRDefault="00210B23" w:rsidP="00934812">
            <w:pPr>
              <w:pStyle w:val="NoSpacing"/>
              <w:rPr>
                <w:b/>
              </w:rPr>
            </w:pPr>
            <w:r w:rsidRPr="00354FA8">
              <w:rPr>
                <w:position w:val="-6"/>
              </w:rPr>
              <w:object w:dxaOrig="360" w:dyaOrig="320">
                <v:shape id="_x0000_i1060" type="#_x0000_t75" style="width:18.25pt;height:15.6pt" o:ole="">
                  <v:imagedata r:id="rId81" o:title=""/>
                </v:shape>
                <o:OLEObject Type="Embed" ProgID="Equation.DSMT4" ShapeID="_x0000_i1060" DrawAspect="Content" ObjectID="_1612205724" r:id="rId82"/>
              </w:object>
            </w:r>
          </w:p>
        </w:tc>
        <w:tc>
          <w:tcPr>
            <w:tcW w:w="1196" w:type="dxa"/>
            <w:shd w:val="clear" w:color="auto" w:fill="auto"/>
          </w:tcPr>
          <w:p w:rsidR="00210B23" w:rsidRPr="00354FA8" w:rsidRDefault="00210B23" w:rsidP="00934812">
            <w:pPr>
              <w:pStyle w:val="NoSpacing"/>
              <w:rPr>
                <w:color w:val="000000"/>
              </w:rPr>
            </w:pPr>
            <w:r w:rsidRPr="00354FA8">
              <w:t>1.39</w:t>
            </w:r>
            <w:r>
              <w:t>5</w:t>
            </w:r>
          </w:p>
        </w:tc>
        <w:tc>
          <w:tcPr>
            <w:tcW w:w="1335" w:type="dxa"/>
            <w:shd w:val="clear" w:color="auto" w:fill="auto"/>
          </w:tcPr>
          <w:p w:rsidR="00210B23" w:rsidRPr="00354FA8" w:rsidRDefault="00210B23" w:rsidP="00934812">
            <w:pPr>
              <w:pStyle w:val="NoSpacing"/>
              <w:rPr>
                <w:color w:val="000000"/>
              </w:rPr>
            </w:pPr>
            <w:r>
              <w:rPr>
                <w:color w:val="000000"/>
              </w:rPr>
              <w:t>3.627</w:t>
            </w:r>
          </w:p>
        </w:tc>
        <w:tc>
          <w:tcPr>
            <w:tcW w:w="1196" w:type="dxa"/>
            <w:shd w:val="clear" w:color="auto" w:fill="auto"/>
          </w:tcPr>
          <w:p w:rsidR="00210B23" w:rsidRPr="00354FA8" w:rsidRDefault="00210B23" w:rsidP="00934812">
            <w:pPr>
              <w:pStyle w:val="NoSpacing"/>
              <w:rPr>
                <w:color w:val="000000"/>
              </w:rPr>
            </w:pPr>
            <w:r w:rsidRPr="00354FA8">
              <w:t>4.319</w:t>
            </w:r>
          </w:p>
        </w:tc>
        <w:tc>
          <w:tcPr>
            <w:tcW w:w="1196" w:type="dxa"/>
            <w:shd w:val="clear" w:color="auto" w:fill="auto"/>
          </w:tcPr>
          <w:p w:rsidR="00210B23" w:rsidRPr="00354FA8" w:rsidRDefault="00210B23" w:rsidP="00934812">
            <w:pPr>
              <w:pStyle w:val="NoSpacing"/>
              <w:rPr>
                <w:color w:val="000000"/>
              </w:rPr>
            </w:pPr>
            <w:r w:rsidRPr="00354FA8">
              <w:t>0.823</w:t>
            </w:r>
          </w:p>
        </w:tc>
        <w:tc>
          <w:tcPr>
            <w:tcW w:w="1215" w:type="dxa"/>
            <w:shd w:val="clear" w:color="auto" w:fill="auto"/>
          </w:tcPr>
          <w:p w:rsidR="00210B23" w:rsidRPr="00354FA8" w:rsidRDefault="00210B23" w:rsidP="00934812">
            <w:pPr>
              <w:pStyle w:val="NoSpacing"/>
              <w:rPr>
                <w:color w:val="000000"/>
              </w:rPr>
            </w:pPr>
            <w:r>
              <w:rPr>
                <w:color w:val="000000"/>
              </w:rPr>
              <w:t>2.049</w:t>
            </w:r>
          </w:p>
        </w:tc>
        <w:tc>
          <w:tcPr>
            <w:tcW w:w="1196" w:type="dxa"/>
            <w:shd w:val="clear" w:color="auto" w:fill="auto"/>
          </w:tcPr>
          <w:p w:rsidR="00210B23" w:rsidRPr="00354FA8" w:rsidRDefault="00210B23" w:rsidP="00934812">
            <w:pPr>
              <w:pStyle w:val="NoSpacing"/>
              <w:rPr>
                <w:color w:val="000000"/>
              </w:rPr>
            </w:pPr>
            <w:r w:rsidRPr="00354FA8">
              <w:t>2.768</w:t>
            </w:r>
          </w:p>
        </w:tc>
      </w:tr>
    </w:tbl>
    <w:p w:rsidR="00934812" w:rsidRDefault="00934812" w:rsidP="00210B23">
      <w:pPr>
        <w:ind w:left="720" w:firstLine="0"/>
        <w:mirrorIndents/>
        <w:rPr>
          <w:rFonts w:ascii="Arial" w:hAnsi="Arial" w:cs="Arial"/>
          <w:b/>
          <w:color w:val="002060"/>
          <w:szCs w:val="24"/>
        </w:rPr>
      </w:pPr>
    </w:p>
    <w:p w:rsidR="002C5633" w:rsidRPr="00210B23" w:rsidRDefault="002C5633" w:rsidP="00210B23">
      <w:pPr>
        <w:ind w:left="720" w:firstLine="0"/>
        <w:mirrorIndents/>
        <w:rPr>
          <w:rFonts w:ascii="Arial" w:hAnsi="Arial" w:cs="Arial"/>
          <w:b/>
          <w:color w:val="002060"/>
          <w:szCs w:val="24"/>
        </w:rPr>
      </w:pPr>
      <w:r w:rsidRPr="00210B23">
        <w:rPr>
          <w:rFonts w:ascii="Arial" w:hAnsi="Arial" w:cs="Arial"/>
          <w:b/>
          <w:color w:val="002060"/>
          <w:szCs w:val="24"/>
        </w:rPr>
        <w:t>Conclusion</w:t>
      </w:r>
    </w:p>
    <w:p w:rsidR="007C635C" w:rsidRPr="00C0795D" w:rsidRDefault="007C635C" w:rsidP="007C635C">
      <w:pPr>
        <w:pStyle w:val="ListParagraph"/>
        <w:ind w:firstLine="0"/>
        <w:mirrorIndents/>
        <w:rPr>
          <w:rFonts w:ascii="Arial" w:hAnsi="Arial" w:cs="Arial"/>
          <w:b/>
          <w:sz w:val="14"/>
          <w:szCs w:val="24"/>
        </w:rPr>
      </w:pPr>
    </w:p>
    <w:p w:rsidR="00210B23" w:rsidRDefault="00210B23" w:rsidP="00210B23">
      <w:pPr>
        <w:autoSpaceDE w:val="0"/>
        <w:autoSpaceDN w:val="0"/>
        <w:adjustRightInd w:val="0"/>
        <w:rPr>
          <w:szCs w:val="24"/>
        </w:rPr>
      </w:pPr>
      <w:r w:rsidRPr="00E459F1">
        <w:rPr>
          <w:szCs w:val="24"/>
        </w:rPr>
        <w:t xml:space="preserve">In the present work, we execute numerical experiments to study the natural convection heat transfer characteristics inside a </w:t>
      </w:r>
      <w:r w:rsidRPr="00E459F1">
        <w:rPr>
          <w:rFonts w:eastAsia="AdvGulliv-R"/>
          <w:szCs w:val="24"/>
        </w:rPr>
        <w:t xml:space="preserve">two-dimensional </w:t>
      </w:r>
      <w:r w:rsidR="00EA3DFD">
        <w:rPr>
          <w:szCs w:val="24"/>
        </w:rPr>
        <w:t>recto semicircular</w:t>
      </w:r>
      <w:r w:rsidRPr="00E459F1">
        <w:rPr>
          <w:rFonts w:eastAsia="AdvGulliv-R"/>
          <w:szCs w:val="24"/>
        </w:rPr>
        <w:t xml:space="preserve"> enclosure</w:t>
      </w:r>
      <w:r w:rsidRPr="00E459F1">
        <w:rPr>
          <w:szCs w:val="24"/>
        </w:rPr>
        <w:t xml:space="preserve"> filled with a saturated porous medium</w:t>
      </w:r>
      <w:r>
        <w:rPr>
          <w:szCs w:val="24"/>
        </w:rPr>
        <w:t>.</w:t>
      </w:r>
    </w:p>
    <w:p w:rsidR="00210B23" w:rsidRPr="004002A7" w:rsidRDefault="00210B23" w:rsidP="00210B23">
      <w:pPr>
        <w:pStyle w:val="ListParagraph"/>
        <w:numPr>
          <w:ilvl w:val="0"/>
          <w:numId w:val="21"/>
        </w:numPr>
        <w:autoSpaceDE w:val="0"/>
        <w:autoSpaceDN w:val="0"/>
        <w:adjustRightInd w:val="0"/>
        <w:rPr>
          <w:b/>
          <w:szCs w:val="24"/>
        </w:rPr>
      </w:pPr>
      <w:r>
        <w:rPr>
          <w:szCs w:val="24"/>
        </w:rPr>
        <w:t>Average Nusselt number reveals, that f</w:t>
      </w:r>
      <w:r w:rsidRPr="00E459F1">
        <w:rPr>
          <w:szCs w:val="24"/>
        </w:rPr>
        <w:t xml:space="preserve">or </w:t>
      </w:r>
      <w:r w:rsidRPr="00E459F1">
        <w:rPr>
          <w:rFonts w:eastAsia="Calibri"/>
          <w:szCs w:val="24"/>
        </w:rPr>
        <w:t>low</w:t>
      </w:r>
      <w:r w:rsidRPr="00E459F1">
        <w:rPr>
          <w:szCs w:val="24"/>
        </w:rPr>
        <w:t>er</w:t>
      </w:r>
      <w:r w:rsidRPr="00E459F1">
        <w:rPr>
          <w:rFonts w:eastAsia="Calibri"/>
          <w:szCs w:val="24"/>
        </w:rPr>
        <w:t xml:space="preserve"> values of </w:t>
      </w:r>
      <w:r w:rsidRPr="00E459F1">
        <w:rPr>
          <w:szCs w:val="24"/>
        </w:rPr>
        <w:t>Darcy</w:t>
      </w:r>
      <w:r w:rsidRPr="00E459F1">
        <w:rPr>
          <w:rFonts w:eastAsia="Calibri"/>
          <w:szCs w:val="24"/>
        </w:rPr>
        <w:t xml:space="preserve"> number (</w:t>
      </w:r>
      <w:r>
        <w:rPr>
          <w:szCs w:val="24"/>
        </w:rPr>
        <w:t>10</w:t>
      </w:r>
      <w:r w:rsidRPr="00E459F1">
        <w:rPr>
          <w:szCs w:val="24"/>
          <w:vertAlign w:val="superscript"/>
        </w:rPr>
        <w:t>-4</w:t>
      </w:r>
      <w:r w:rsidRPr="00E459F1">
        <w:rPr>
          <w:rFonts w:eastAsia="Calibri"/>
          <w:szCs w:val="24"/>
        </w:rPr>
        <w:t xml:space="preserve">), </w:t>
      </w:r>
      <w:r w:rsidRPr="00E459F1">
        <w:rPr>
          <w:szCs w:val="24"/>
        </w:rPr>
        <w:t>the heat transfer in the enclosure is mainly due to conduction and it is not influenced by Rayleigh number. For higher values of Darcy number</w:t>
      </w:r>
      <w:r>
        <w:rPr>
          <w:szCs w:val="24"/>
        </w:rPr>
        <w:t>(Da=10</w:t>
      </w:r>
      <w:r w:rsidRPr="00E459F1">
        <w:rPr>
          <w:szCs w:val="24"/>
          <w:vertAlign w:val="superscript"/>
        </w:rPr>
        <w:t>-2</w:t>
      </w:r>
      <w:r>
        <w:rPr>
          <w:szCs w:val="24"/>
        </w:rPr>
        <w:t>, 10</w:t>
      </w:r>
      <w:r w:rsidRPr="00E459F1">
        <w:rPr>
          <w:szCs w:val="24"/>
          <w:vertAlign w:val="superscript"/>
        </w:rPr>
        <w:t>-3</w:t>
      </w:r>
      <w:r>
        <w:rPr>
          <w:szCs w:val="24"/>
        </w:rPr>
        <w:t>)</w:t>
      </w:r>
      <w:r w:rsidRPr="00E459F1">
        <w:rPr>
          <w:szCs w:val="24"/>
        </w:rPr>
        <w:t>, the dominant mode of heat transfer is dependent on Rayleigh number.</w:t>
      </w:r>
    </w:p>
    <w:p w:rsidR="00210B23" w:rsidRPr="00210B23" w:rsidRDefault="00F80AE9" w:rsidP="00F80AE9">
      <w:pPr>
        <w:ind w:firstLine="0"/>
        <w:contextualSpacing/>
        <w:mirrorIndents/>
        <w:rPr>
          <w:rFonts w:ascii="Arial" w:hAnsi="Arial" w:cs="Arial"/>
          <w:b/>
          <w:color w:val="002060"/>
          <w:szCs w:val="24"/>
        </w:rPr>
      </w:pPr>
      <w:r w:rsidRPr="00210B23">
        <w:rPr>
          <w:rFonts w:ascii="Arial" w:hAnsi="Arial" w:cs="Arial"/>
          <w:b/>
          <w:color w:val="002060"/>
          <w:szCs w:val="24"/>
        </w:rPr>
        <w:t>Acknowledgements</w:t>
      </w:r>
      <w:r w:rsidR="00210B23" w:rsidRPr="00210B23">
        <w:rPr>
          <w:rFonts w:ascii="Arial" w:hAnsi="Arial" w:cs="Arial"/>
          <w:b/>
          <w:color w:val="002060"/>
          <w:szCs w:val="24"/>
        </w:rPr>
        <w:t xml:space="preserve"> </w:t>
      </w:r>
    </w:p>
    <w:p w:rsidR="00F80AE9" w:rsidRPr="00210B23" w:rsidRDefault="00210B23" w:rsidP="00F80AE9">
      <w:pPr>
        <w:ind w:firstLine="0"/>
        <w:contextualSpacing/>
        <w:mirrorIndents/>
        <w:rPr>
          <w:rFonts w:ascii="Arial" w:hAnsi="Arial" w:cs="Arial"/>
          <w:b/>
          <w:szCs w:val="24"/>
        </w:rPr>
      </w:pPr>
      <w:r w:rsidRPr="00210B23">
        <w:rPr>
          <w:szCs w:val="24"/>
        </w:rPr>
        <w:t>The authors acknowledge technical help from IIT Kgp CFD lab.</w:t>
      </w:r>
      <w:r w:rsidR="00E913D9">
        <w:rPr>
          <w:szCs w:val="24"/>
        </w:rPr>
        <w:t xml:space="preserve"> The authors did not receive any financial grants or project for this work.</w:t>
      </w:r>
    </w:p>
    <w:p w:rsidR="007C635C" w:rsidRPr="00C0795D" w:rsidRDefault="007C635C" w:rsidP="00F80AE9">
      <w:pPr>
        <w:ind w:firstLine="0"/>
        <w:contextualSpacing/>
        <w:mirrorIndents/>
        <w:rPr>
          <w:rFonts w:ascii="Arial" w:hAnsi="Arial" w:cs="Arial"/>
          <w:b/>
          <w:sz w:val="14"/>
          <w:szCs w:val="24"/>
        </w:rPr>
      </w:pPr>
    </w:p>
    <w:p w:rsidR="00A47C1A" w:rsidRPr="00934812" w:rsidRDefault="00A47C1A" w:rsidP="005F5165">
      <w:pPr>
        <w:ind w:firstLine="0"/>
        <w:contextualSpacing/>
        <w:mirrorIndents/>
        <w:rPr>
          <w:rFonts w:ascii="Arial" w:hAnsi="Arial" w:cs="Arial"/>
          <w:b/>
          <w:color w:val="002060"/>
          <w:szCs w:val="24"/>
        </w:rPr>
      </w:pPr>
      <w:r w:rsidRPr="00934812">
        <w:rPr>
          <w:rFonts w:ascii="Arial" w:hAnsi="Arial" w:cs="Arial"/>
          <w:b/>
          <w:color w:val="002060"/>
          <w:szCs w:val="24"/>
        </w:rPr>
        <w:t>References</w:t>
      </w:r>
    </w:p>
    <w:p w:rsidR="00210B23" w:rsidRPr="00354FA8" w:rsidRDefault="00210B23" w:rsidP="00210B23">
      <w:pPr>
        <w:pStyle w:val="NoSpacing"/>
      </w:pPr>
      <w:r>
        <w:t>[1]</w:t>
      </w:r>
      <w:r w:rsidRPr="00354FA8">
        <w:t>A. Bejan, I. Dincer, S. Lorente, A.F. Miguel and</w:t>
      </w:r>
      <w:r>
        <w:t xml:space="preserve"> A.H. Reis, Porous and Complex </w:t>
      </w:r>
      <w:r w:rsidRPr="00354FA8">
        <w:t xml:space="preserve">Flow Structures in Modern Technologies, Springer, New York, </w:t>
      </w:r>
      <w:r>
        <w:t>(</w:t>
      </w:r>
      <w:r w:rsidRPr="00354FA8">
        <w:t>2004</w:t>
      </w:r>
      <w:r>
        <w:t>)</w:t>
      </w:r>
      <w:r w:rsidRPr="00354FA8">
        <w:t xml:space="preserve">. </w:t>
      </w:r>
    </w:p>
    <w:p w:rsidR="00210B23" w:rsidRPr="00354FA8" w:rsidRDefault="00210B23" w:rsidP="00210B23">
      <w:pPr>
        <w:pStyle w:val="NoSpacing"/>
        <w:jc w:val="both"/>
      </w:pPr>
      <w:r>
        <w:t xml:space="preserve">[2] </w:t>
      </w:r>
      <w:r w:rsidRPr="00354FA8">
        <w:t>D. B. Ingham, A. Bejan, E. Mamut and I. Pop (E</w:t>
      </w:r>
      <w:r>
        <w:t xml:space="preserve">ds.), Emerging Technologies and </w:t>
      </w:r>
      <w:r w:rsidRPr="00354FA8">
        <w:t xml:space="preserve">Techniques in Porous Media, Kluwer, Dordrecht, </w:t>
      </w:r>
      <w:r>
        <w:t>(</w:t>
      </w:r>
      <w:r w:rsidRPr="00354FA8">
        <w:t>2004</w:t>
      </w:r>
      <w:r>
        <w:t>)</w:t>
      </w:r>
      <w:r w:rsidRPr="00354FA8">
        <w:t>.</w:t>
      </w:r>
    </w:p>
    <w:p w:rsidR="00210B23" w:rsidRDefault="00210B23" w:rsidP="00210B23">
      <w:pPr>
        <w:pStyle w:val="NoSpacing"/>
      </w:pPr>
      <w:r>
        <w:t>[3]</w:t>
      </w:r>
      <w:r w:rsidRPr="00354FA8">
        <w:t>I. Pop and D.B. Ingham, Convective Heat Transfer:</w:t>
      </w:r>
      <w:r>
        <w:t xml:space="preserve"> Mathematical and Computational</w:t>
      </w:r>
    </w:p>
    <w:p w:rsidR="00210B23" w:rsidRPr="00354FA8" w:rsidRDefault="00210B23" w:rsidP="00210B23">
      <w:pPr>
        <w:pStyle w:val="NoSpacing"/>
      </w:pPr>
      <w:r w:rsidRPr="00354FA8">
        <w:t xml:space="preserve">Modelling of Viscous Fluids and Porous Media, Pergamon, Oxford, </w:t>
      </w:r>
      <w:r>
        <w:t>(</w:t>
      </w:r>
      <w:r w:rsidRPr="00354FA8">
        <w:t>2001</w:t>
      </w:r>
      <w:r>
        <w:t>)</w:t>
      </w:r>
      <w:r w:rsidRPr="00354FA8">
        <w:t>.</w:t>
      </w:r>
    </w:p>
    <w:p w:rsidR="00210B23" w:rsidRPr="00354FA8" w:rsidRDefault="00210B23" w:rsidP="00210B23">
      <w:pPr>
        <w:pStyle w:val="NoSpacing"/>
      </w:pPr>
      <w:r w:rsidRPr="00354FA8">
        <w:t>[</w:t>
      </w:r>
      <w:r>
        <w:t xml:space="preserve">4] </w:t>
      </w:r>
      <w:r w:rsidRPr="00354FA8">
        <w:t xml:space="preserve">K. Vafai, Handbook of Porous Media, Marcel Dekker, New York, </w:t>
      </w:r>
      <w:r>
        <w:t>(</w:t>
      </w:r>
      <w:r w:rsidRPr="00354FA8">
        <w:t>2000</w:t>
      </w:r>
      <w:r>
        <w:t>)</w:t>
      </w:r>
      <w:r w:rsidRPr="00354FA8">
        <w:t>.</w:t>
      </w:r>
    </w:p>
    <w:p w:rsidR="00210B23" w:rsidRPr="00354FA8" w:rsidRDefault="00210B23" w:rsidP="00210B23">
      <w:pPr>
        <w:pStyle w:val="NoSpacing"/>
        <w:rPr>
          <w:rFonts w:eastAsia="MinionPro-Regular"/>
        </w:rPr>
      </w:pPr>
      <w:r w:rsidRPr="00354FA8">
        <w:rPr>
          <w:rFonts w:eastAsia="MinionPro-Regular"/>
        </w:rPr>
        <w:t xml:space="preserve">[5] N. H. Saeid and I. Pop, Transient Free Convection in a Square Cavity Filled with a Porous Medium, </w:t>
      </w:r>
      <w:r>
        <w:rPr>
          <w:rFonts w:eastAsia="MinionPro-Regular"/>
          <w:iCs/>
        </w:rPr>
        <w:t xml:space="preserve">Int. J. Heat Mass Transf. </w:t>
      </w:r>
      <w:r>
        <w:rPr>
          <w:rFonts w:eastAsia="MinionPro-Regular"/>
        </w:rPr>
        <w:t xml:space="preserve">47, </w:t>
      </w:r>
      <w:r w:rsidRPr="00354FA8">
        <w:rPr>
          <w:rFonts w:eastAsia="MinionPro-Regular"/>
        </w:rPr>
        <w:t xml:space="preserve">1917–1924, </w:t>
      </w:r>
      <w:r>
        <w:rPr>
          <w:rFonts w:eastAsia="MinionPro-Regular"/>
        </w:rPr>
        <w:t>(</w:t>
      </w:r>
      <w:r w:rsidRPr="00354FA8">
        <w:rPr>
          <w:rFonts w:eastAsia="MinionPro-Regular"/>
        </w:rPr>
        <w:t>2004</w:t>
      </w:r>
      <w:r>
        <w:rPr>
          <w:rFonts w:eastAsia="MinionPro-Regular"/>
        </w:rPr>
        <w:t>)</w:t>
      </w:r>
      <w:r w:rsidRPr="00354FA8">
        <w:rPr>
          <w:rFonts w:eastAsia="MinionPro-Regular"/>
        </w:rPr>
        <w:t>.</w:t>
      </w:r>
    </w:p>
    <w:p w:rsidR="00210B23" w:rsidRPr="00354FA8" w:rsidRDefault="00210B23" w:rsidP="00210B23">
      <w:pPr>
        <w:pStyle w:val="NoSpacing"/>
        <w:rPr>
          <w:rFonts w:eastAsia="MinionPro-Regular"/>
        </w:rPr>
      </w:pPr>
      <w:r w:rsidRPr="00354FA8">
        <w:rPr>
          <w:rFonts w:eastAsia="MinionPro-Regular"/>
        </w:rPr>
        <w:t xml:space="preserve">[6] T. Basak, S. Roy, T. Paul, and I. Pop, Natural Convection in a Square Cavity Filled with a Porous Medium: Effects of Various Thermal Boundary Conditions, </w:t>
      </w:r>
      <w:r>
        <w:rPr>
          <w:rFonts w:eastAsia="MinionPro-Regular"/>
          <w:iCs/>
        </w:rPr>
        <w:t>Int. J. Heat Mass Transf.</w:t>
      </w:r>
      <w:r>
        <w:rPr>
          <w:rFonts w:eastAsia="MinionPro-Regular"/>
        </w:rPr>
        <w:t xml:space="preserve"> 49, </w:t>
      </w:r>
      <w:r w:rsidRPr="00354FA8">
        <w:rPr>
          <w:rFonts w:eastAsia="MinionPro-Regular"/>
        </w:rPr>
        <w:t>1430–1441, 2006.</w:t>
      </w:r>
    </w:p>
    <w:p w:rsidR="00210B23" w:rsidRPr="00354FA8" w:rsidRDefault="00210B23" w:rsidP="00210B23">
      <w:pPr>
        <w:pStyle w:val="NoSpacing"/>
        <w:rPr>
          <w:rFonts w:eastAsia="Calibri"/>
          <w:color w:val="000000" w:themeColor="text1"/>
        </w:rPr>
      </w:pPr>
      <w:r>
        <w:rPr>
          <w:rFonts w:eastAsia="Calibri"/>
          <w:color w:val="000000" w:themeColor="text1"/>
        </w:rPr>
        <w:t>[7]O.C.</w:t>
      </w:r>
      <w:r w:rsidRPr="001429D3">
        <w:rPr>
          <w:rFonts w:eastAsia="Calibri"/>
          <w:color w:val="000000" w:themeColor="text1"/>
        </w:rPr>
        <w:t xml:space="preserve"> </w:t>
      </w:r>
      <w:r w:rsidRPr="00354FA8">
        <w:rPr>
          <w:rFonts w:eastAsia="Calibri"/>
          <w:color w:val="000000" w:themeColor="text1"/>
        </w:rPr>
        <w:t>Zienkiewicz</w:t>
      </w:r>
      <w:r>
        <w:rPr>
          <w:rFonts w:eastAsia="Calibri"/>
          <w:color w:val="000000" w:themeColor="text1"/>
        </w:rPr>
        <w:t xml:space="preserve">  and R.L. Taylor, </w:t>
      </w:r>
      <w:r w:rsidRPr="00354FA8">
        <w:rPr>
          <w:rFonts w:eastAsia="Calibri"/>
          <w:color w:val="000000" w:themeColor="text1"/>
        </w:rPr>
        <w:t>The finite eleme</w:t>
      </w:r>
      <w:r>
        <w:rPr>
          <w:rFonts w:eastAsia="Calibri"/>
          <w:color w:val="000000" w:themeColor="text1"/>
        </w:rPr>
        <w:t>nt Method,</w:t>
      </w:r>
      <w:r w:rsidRPr="00354FA8">
        <w:rPr>
          <w:rFonts w:eastAsia="Calibri"/>
          <w:color w:val="000000" w:themeColor="text1"/>
        </w:rPr>
        <w:t xml:space="preserve"> 4th ed. McGraw-Hill </w:t>
      </w:r>
      <w:r>
        <w:rPr>
          <w:rFonts w:eastAsia="Calibri"/>
          <w:color w:val="000000" w:themeColor="text1"/>
        </w:rPr>
        <w:t>(1991)</w:t>
      </w:r>
      <w:r w:rsidRPr="00354FA8">
        <w:rPr>
          <w:rFonts w:eastAsia="Calibri"/>
          <w:color w:val="000000" w:themeColor="text1"/>
        </w:rPr>
        <w:t>.</w:t>
      </w:r>
    </w:p>
    <w:p w:rsidR="00210B23" w:rsidRPr="00354FA8" w:rsidRDefault="00210B23" w:rsidP="00210B23">
      <w:pPr>
        <w:pStyle w:val="NoSpacing"/>
        <w:jc w:val="both"/>
        <w:rPr>
          <w:color w:val="000000" w:themeColor="text1"/>
        </w:rPr>
      </w:pPr>
      <w:r w:rsidRPr="00354FA8">
        <w:rPr>
          <w:color w:val="000000" w:themeColor="text1"/>
        </w:rPr>
        <w:t>[8</w:t>
      </w:r>
      <w:r>
        <w:rPr>
          <w:color w:val="000000" w:themeColor="text1"/>
        </w:rPr>
        <w:t>]S.</w:t>
      </w:r>
      <w:r>
        <w:rPr>
          <w:bCs/>
          <w:color w:val="000000" w:themeColor="text1"/>
        </w:rPr>
        <w:t xml:space="preserve">Dutta, </w:t>
      </w:r>
      <w:r w:rsidRPr="00354FA8">
        <w:rPr>
          <w:bCs/>
          <w:color w:val="000000" w:themeColor="text1"/>
        </w:rPr>
        <w:t xml:space="preserve"> A.K. Biswas and S.Pati </w:t>
      </w:r>
      <w:r>
        <w:rPr>
          <w:bCs/>
          <w:color w:val="000000" w:themeColor="text1"/>
        </w:rPr>
        <w:t xml:space="preserve">, </w:t>
      </w:r>
      <w:r w:rsidRPr="00354FA8">
        <w:rPr>
          <w:rStyle w:val="nlmarticle-title"/>
          <w:color w:val="000000" w:themeColor="text1"/>
          <w:szCs w:val="24"/>
        </w:rPr>
        <w:t>Natural convection heat transfer and entropy generation inside porous quadrantal enclosure with non-isothermal heating at the bottom wall</w:t>
      </w:r>
      <w:r>
        <w:rPr>
          <w:color w:val="000000" w:themeColor="text1"/>
        </w:rPr>
        <w:t>, Numeric.</w:t>
      </w:r>
      <w:r w:rsidRPr="00354FA8">
        <w:rPr>
          <w:color w:val="000000" w:themeColor="text1"/>
        </w:rPr>
        <w:t xml:space="preserve">Heat </w:t>
      </w:r>
      <w:r>
        <w:rPr>
          <w:color w:val="000000" w:themeColor="text1"/>
        </w:rPr>
        <w:t>Transf.</w:t>
      </w:r>
      <w:r w:rsidRPr="00354FA8">
        <w:rPr>
          <w:color w:val="000000" w:themeColor="text1"/>
        </w:rPr>
        <w:t xml:space="preserve"> 73(4)</w:t>
      </w:r>
      <w:r>
        <w:rPr>
          <w:color w:val="000000" w:themeColor="text1"/>
        </w:rPr>
        <w:t>,</w:t>
      </w:r>
      <w:r w:rsidRPr="00354FA8">
        <w:rPr>
          <w:color w:val="000000" w:themeColor="text1"/>
        </w:rPr>
        <w:t xml:space="preserve"> 222–240</w:t>
      </w:r>
      <w:r>
        <w:rPr>
          <w:color w:val="000000" w:themeColor="text1"/>
        </w:rPr>
        <w:t xml:space="preserve"> (2018).</w:t>
      </w:r>
    </w:p>
    <w:p w:rsidR="00210B23" w:rsidRDefault="00210B23" w:rsidP="00210B23">
      <w:pPr>
        <w:pStyle w:val="NoSpacing"/>
        <w:rPr>
          <w:rFonts w:eastAsia="MinionPro-Regular"/>
          <w:color w:val="000000"/>
        </w:rPr>
      </w:pPr>
      <w:r w:rsidRPr="00354FA8">
        <w:t>[9]</w:t>
      </w:r>
      <w:r w:rsidRPr="00354FA8">
        <w:rPr>
          <w:rFonts w:eastAsia="MinionPro-Regular"/>
          <w:color w:val="000000"/>
        </w:rPr>
        <w:t>G. Lauriat and V. Prasad, Non-Darcian Effects on Natural Convectio</w:t>
      </w:r>
      <w:r>
        <w:rPr>
          <w:rFonts w:eastAsia="MinionPro-Regular"/>
          <w:color w:val="000000"/>
        </w:rPr>
        <w:t xml:space="preserve">n in a </w:t>
      </w:r>
      <w:r w:rsidRPr="00354FA8">
        <w:rPr>
          <w:rFonts w:eastAsia="MinionPro-Regular"/>
          <w:color w:val="000000"/>
        </w:rPr>
        <w:t xml:space="preserve">Vertical Porous Enclosure, </w:t>
      </w:r>
      <w:r>
        <w:rPr>
          <w:rFonts w:eastAsia="MinionPro-Regular"/>
          <w:iCs/>
          <w:color w:val="000000"/>
        </w:rPr>
        <w:t>Int. J. Heat Mass Transf.</w:t>
      </w:r>
      <w:r>
        <w:rPr>
          <w:rFonts w:eastAsia="MinionPro-Regular"/>
          <w:color w:val="000000"/>
        </w:rPr>
        <w:t xml:space="preserve"> 32, 2135–2148, (</w:t>
      </w:r>
      <w:r w:rsidRPr="00354FA8">
        <w:rPr>
          <w:rFonts w:eastAsia="MinionPro-Regular"/>
          <w:color w:val="000000"/>
        </w:rPr>
        <w:t>1989</w:t>
      </w:r>
      <w:r>
        <w:rPr>
          <w:rFonts w:eastAsia="MinionPro-Regular"/>
          <w:color w:val="000000"/>
        </w:rPr>
        <w:t>)</w:t>
      </w:r>
      <w:r w:rsidRPr="00354FA8">
        <w:rPr>
          <w:rFonts w:eastAsia="MinionPro-Regular"/>
          <w:color w:val="000000"/>
        </w:rPr>
        <w:t>.</w:t>
      </w:r>
    </w:p>
    <w:p w:rsidR="00210B23" w:rsidRPr="00C0795D" w:rsidRDefault="00210B23" w:rsidP="00210B23">
      <w:pPr>
        <w:contextualSpacing/>
        <w:mirrorIndents/>
        <w:rPr>
          <w:sz w:val="14"/>
          <w:szCs w:val="24"/>
        </w:rPr>
      </w:pPr>
    </w:p>
    <w:p w:rsidR="00210B23" w:rsidRPr="00354FA8" w:rsidRDefault="00210B23" w:rsidP="00210B23">
      <w:pPr>
        <w:autoSpaceDE w:val="0"/>
        <w:autoSpaceDN w:val="0"/>
        <w:adjustRightInd w:val="0"/>
        <w:rPr>
          <w:color w:val="000000"/>
          <w:szCs w:val="24"/>
        </w:rPr>
      </w:pPr>
    </w:p>
    <w:p w:rsidR="00BF7AE8" w:rsidRPr="00942EA6" w:rsidRDefault="00BF7AE8" w:rsidP="00DB27E6">
      <w:pPr>
        <w:ind w:firstLine="0"/>
        <w:contextualSpacing/>
        <w:mirrorIndents/>
        <w:rPr>
          <w:sz w:val="22"/>
          <w:szCs w:val="22"/>
        </w:rPr>
      </w:pPr>
    </w:p>
    <w:sectPr w:rsidR="00BF7AE8" w:rsidRPr="00942EA6" w:rsidSect="00C0795D">
      <w:footerReference w:type="default" r:id="rId83"/>
      <w:headerReference w:type="first" r:id="rId84"/>
      <w:footerReference w:type="first" r:id="rId85"/>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D3C" w:rsidRDefault="00C86D3C">
      <w:r>
        <w:separator/>
      </w:r>
    </w:p>
  </w:endnote>
  <w:endnote w:type="continuationSeparator" w:id="1">
    <w:p w:rsidR="00C86D3C" w:rsidRDefault="00C86D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NGGO B+ Galliard">
    <w:altName w:val="Galliard"/>
    <w:panose1 w:val="00000000000000000000"/>
    <w:charset w:val="00"/>
    <w:family w:val="roman"/>
    <w:notTrueType/>
    <w:pitch w:val="default"/>
    <w:sig w:usb0="00000003" w:usb1="00000000" w:usb2="00000000" w:usb3="00000000" w:csb0="00000001" w:csb1="00000000"/>
  </w:font>
  <w:font w:name="MinionPro-Regular">
    <w:altName w:val="MS Gothic"/>
    <w:panose1 w:val="00000000000000000000"/>
    <w:charset w:val="80"/>
    <w:family w:val="swiss"/>
    <w:notTrueType/>
    <w:pitch w:val="default"/>
    <w:sig w:usb0="00000001" w:usb1="08070000" w:usb2="00000010" w:usb3="00000000" w:csb0="00020000" w:csb1="00000000"/>
  </w:font>
  <w:font w:name="AdvGulliv-R">
    <w:altName w:val="MS Mincho"/>
    <w:panose1 w:val="00000000000000000000"/>
    <w:charset w:val="00"/>
    <w:family w:val="auto"/>
    <w:notTrueType/>
    <w:pitch w:val="default"/>
    <w:sig w:usb0="00000000" w:usb1="08070000" w:usb2="00000010" w:usb3="00000000" w:csb0="00020001" w:csb1="00000000"/>
  </w:font>
  <w:font w:name="STIXGeneral">
    <w:altName w:val="MS Gothic"/>
    <w:panose1 w:val="00000000000000000000"/>
    <w:charset w:val="80"/>
    <w:family w:val="swiss"/>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612D3E">
    <w:pPr>
      <w:pStyle w:val="Footer"/>
      <w:jc w:val="center"/>
    </w:pPr>
    <w:r>
      <w:fldChar w:fldCharType="begin"/>
    </w:r>
    <w:r w:rsidR="00036E07">
      <w:instrText xml:space="preserve"> PAGE </w:instrText>
    </w:r>
    <w:r>
      <w:fldChar w:fldCharType="separate"/>
    </w:r>
    <w:r w:rsidR="00E913D9">
      <w:rPr>
        <w:noProof/>
      </w:rPr>
      <w:t>5</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612D3E">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E913D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D3C" w:rsidRDefault="00C86D3C">
      <w:r>
        <w:separator/>
      </w:r>
    </w:p>
  </w:footnote>
  <w:footnote w:type="continuationSeparator" w:id="1">
    <w:p w:rsidR="00C86D3C" w:rsidRDefault="00C86D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79750D"/>
    <w:multiLevelType w:val="hybridMultilevel"/>
    <w:tmpl w:val="7C8683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2A19C8"/>
    <w:multiLevelType w:val="multilevel"/>
    <w:tmpl w:val="67DC0120"/>
    <w:lvl w:ilvl="0">
      <w:start w:val="1"/>
      <w:numFmt w:val="decimal"/>
      <w:lvlText w:val="%1."/>
      <w:lvlJc w:val="left"/>
      <w:pPr>
        <w:ind w:left="390" w:hanging="390"/>
      </w:pPr>
      <w:rPr>
        <w:rFonts w:ascii="Arial" w:eastAsiaTheme="minorEastAsia" w:hAnsi="Arial" w:cs="Arial" w:hint="default"/>
        <w:b/>
        <w:color w:val="0F147D"/>
      </w:rPr>
    </w:lvl>
    <w:lvl w:ilvl="1">
      <w:start w:val="1"/>
      <w:numFmt w:val="decimal"/>
      <w:lvlText w:val="%1.%2."/>
      <w:lvlJc w:val="left"/>
      <w:pPr>
        <w:ind w:left="390" w:hanging="390"/>
      </w:pPr>
      <w:rPr>
        <w:rFonts w:ascii="Arial" w:eastAsiaTheme="minorEastAsia" w:hAnsi="Arial" w:cs="Arial" w:hint="default"/>
        <w:b/>
        <w:color w:val="0F147D"/>
      </w:rPr>
    </w:lvl>
    <w:lvl w:ilvl="2">
      <w:start w:val="1"/>
      <w:numFmt w:val="decimal"/>
      <w:lvlText w:val="%1.%2.%3."/>
      <w:lvlJc w:val="left"/>
      <w:pPr>
        <w:ind w:left="720" w:hanging="720"/>
      </w:pPr>
      <w:rPr>
        <w:rFonts w:ascii="Arial" w:eastAsiaTheme="minorEastAsia" w:hAnsi="Arial" w:cs="Arial" w:hint="default"/>
        <w:b/>
        <w:color w:val="0F147D"/>
      </w:rPr>
    </w:lvl>
    <w:lvl w:ilvl="3">
      <w:start w:val="1"/>
      <w:numFmt w:val="decimal"/>
      <w:lvlText w:val="%1.%2.%3.%4."/>
      <w:lvlJc w:val="left"/>
      <w:pPr>
        <w:ind w:left="720" w:hanging="720"/>
      </w:pPr>
      <w:rPr>
        <w:rFonts w:ascii="Arial" w:eastAsiaTheme="minorEastAsia" w:hAnsi="Arial" w:cs="Arial" w:hint="default"/>
        <w:b/>
        <w:color w:val="0F147D"/>
      </w:rPr>
    </w:lvl>
    <w:lvl w:ilvl="4">
      <w:start w:val="1"/>
      <w:numFmt w:val="decimal"/>
      <w:lvlText w:val="%1.%2.%3.%4.%5."/>
      <w:lvlJc w:val="left"/>
      <w:pPr>
        <w:ind w:left="1080" w:hanging="1080"/>
      </w:pPr>
      <w:rPr>
        <w:rFonts w:ascii="Arial" w:eastAsiaTheme="minorEastAsia" w:hAnsi="Arial" w:cs="Arial" w:hint="default"/>
        <w:b/>
        <w:color w:val="0F147D"/>
      </w:rPr>
    </w:lvl>
    <w:lvl w:ilvl="5">
      <w:start w:val="1"/>
      <w:numFmt w:val="decimal"/>
      <w:lvlText w:val="%1.%2.%3.%4.%5.%6."/>
      <w:lvlJc w:val="left"/>
      <w:pPr>
        <w:ind w:left="1080" w:hanging="1080"/>
      </w:pPr>
      <w:rPr>
        <w:rFonts w:ascii="Arial" w:eastAsiaTheme="minorEastAsia" w:hAnsi="Arial" w:cs="Arial" w:hint="default"/>
        <w:b/>
        <w:color w:val="0F147D"/>
      </w:rPr>
    </w:lvl>
    <w:lvl w:ilvl="6">
      <w:start w:val="1"/>
      <w:numFmt w:val="decimal"/>
      <w:lvlText w:val="%1.%2.%3.%4.%5.%6.%7."/>
      <w:lvlJc w:val="left"/>
      <w:pPr>
        <w:ind w:left="1440" w:hanging="1440"/>
      </w:pPr>
      <w:rPr>
        <w:rFonts w:ascii="Arial" w:eastAsiaTheme="minorEastAsia" w:hAnsi="Arial" w:cs="Arial" w:hint="default"/>
        <w:b/>
        <w:color w:val="0F147D"/>
      </w:rPr>
    </w:lvl>
    <w:lvl w:ilvl="7">
      <w:start w:val="1"/>
      <w:numFmt w:val="decimal"/>
      <w:lvlText w:val="%1.%2.%3.%4.%5.%6.%7.%8."/>
      <w:lvlJc w:val="left"/>
      <w:pPr>
        <w:ind w:left="1440" w:hanging="1440"/>
      </w:pPr>
      <w:rPr>
        <w:rFonts w:ascii="Arial" w:eastAsiaTheme="minorEastAsia" w:hAnsi="Arial" w:cs="Arial" w:hint="default"/>
        <w:b/>
        <w:color w:val="0F147D"/>
      </w:rPr>
    </w:lvl>
    <w:lvl w:ilvl="8">
      <w:start w:val="1"/>
      <w:numFmt w:val="decimal"/>
      <w:lvlText w:val="%1.%2.%3.%4.%5.%6.%7.%8.%9."/>
      <w:lvlJc w:val="left"/>
      <w:pPr>
        <w:ind w:left="1800" w:hanging="1800"/>
      </w:pPr>
      <w:rPr>
        <w:rFonts w:ascii="Arial" w:eastAsiaTheme="minorEastAsia" w:hAnsi="Arial" w:cs="Arial" w:hint="default"/>
        <w:b/>
        <w:color w:val="0F147D"/>
      </w:rPr>
    </w:lvl>
  </w:abstractNum>
  <w:abstractNum w:abstractNumId="16">
    <w:nsid w:val="63755815"/>
    <w:multiLevelType w:val="hybridMultilevel"/>
    <w:tmpl w:val="58A04866"/>
    <w:lvl w:ilvl="0" w:tplc="B798DD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7E5302"/>
    <w:multiLevelType w:val="singleLevel"/>
    <w:tmpl w:val="DCF677BC"/>
    <w:lvl w:ilvl="0">
      <w:start w:val="1"/>
      <w:numFmt w:val="decimal"/>
      <w:lvlText w:val="[%1]"/>
      <w:lvlJc w:val="left"/>
      <w:pPr>
        <w:tabs>
          <w:tab w:val="num" w:pos="360"/>
        </w:tabs>
        <w:ind w:left="360" w:hanging="360"/>
      </w:pPr>
    </w:lvl>
  </w:abstractNum>
  <w:num w:numId="1">
    <w:abstractNumId w:val="13"/>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2"/>
  </w:num>
  <w:num w:numId="15">
    <w:abstractNumId w:val="13"/>
  </w:num>
  <w:num w:numId="16">
    <w:abstractNumId w:val="5"/>
  </w:num>
  <w:num w:numId="17">
    <w:abstractNumId w:val="14"/>
  </w:num>
  <w:num w:numId="18">
    <w:abstractNumId w:val="10"/>
  </w:num>
  <w:num w:numId="19">
    <w:abstractNumId w:val="16"/>
  </w:num>
  <w:num w:numId="20">
    <w:abstractNumId w:val="15"/>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29698"/>
  </w:hdrShapeDefaults>
  <w:footnotePr>
    <w:footnote w:id="0"/>
    <w:footnote w:id="1"/>
  </w:footnotePr>
  <w:endnotePr>
    <w:endnote w:id="0"/>
    <w:endnote w:id="1"/>
  </w:endnotePr>
  <w:compat/>
  <w:rsids>
    <w:rsidRoot w:val="008D4882"/>
    <w:rsid w:val="000078A6"/>
    <w:rsid w:val="00021A6C"/>
    <w:rsid w:val="00026BC3"/>
    <w:rsid w:val="00026D13"/>
    <w:rsid w:val="00036E07"/>
    <w:rsid w:val="00054FA2"/>
    <w:rsid w:val="00095DE1"/>
    <w:rsid w:val="000C411C"/>
    <w:rsid w:val="000C7419"/>
    <w:rsid w:val="000F268D"/>
    <w:rsid w:val="0011741F"/>
    <w:rsid w:val="00122886"/>
    <w:rsid w:val="00125A5C"/>
    <w:rsid w:val="0016494C"/>
    <w:rsid w:val="0016734C"/>
    <w:rsid w:val="001726F9"/>
    <w:rsid w:val="0017676D"/>
    <w:rsid w:val="00186CD1"/>
    <w:rsid w:val="001A06FD"/>
    <w:rsid w:val="001E4452"/>
    <w:rsid w:val="001F0C01"/>
    <w:rsid w:val="001F4C3D"/>
    <w:rsid w:val="001F57B9"/>
    <w:rsid w:val="00205179"/>
    <w:rsid w:val="00210B23"/>
    <w:rsid w:val="00220866"/>
    <w:rsid w:val="00220E8C"/>
    <w:rsid w:val="00243A47"/>
    <w:rsid w:val="0024718D"/>
    <w:rsid w:val="00295E6C"/>
    <w:rsid w:val="002B13D9"/>
    <w:rsid w:val="002C5633"/>
    <w:rsid w:val="002E19E8"/>
    <w:rsid w:val="002E3A2D"/>
    <w:rsid w:val="002E457C"/>
    <w:rsid w:val="002F788F"/>
    <w:rsid w:val="0030251D"/>
    <w:rsid w:val="00322C87"/>
    <w:rsid w:val="003263B6"/>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6374D"/>
    <w:rsid w:val="00474D36"/>
    <w:rsid w:val="0047581A"/>
    <w:rsid w:val="004762B3"/>
    <w:rsid w:val="0048312F"/>
    <w:rsid w:val="004957D6"/>
    <w:rsid w:val="004A0EEA"/>
    <w:rsid w:val="004B0034"/>
    <w:rsid w:val="004C62C9"/>
    <w:rsid w:val="004D1709"/>
    <w:rsid w:val="004E42AE"/>
    <w:rsid w:val="004E477E"/>
    <w:rsid w:val="004E519A"/>
    <w:rsid w:val="004E5A3D"/>
    <w:rsid w:val="005016D5"/>
    <w:rsid w:val="005037DF"/>
    <w:rsid w:val="00511ABA"/>
    <w:rsid w:val="00511DC4"/>
    <w:rsid w:val="00530065"/>
    <w:rsid w:val="00540715"/>
    <w:rsid w:val="00543723"/>
    <w:rsid w:val="005538EF"/>
    <w:rsid w:val="00574CF7"/>
    <w:rsid w:val="005774AE"/>
    <w:rsid w:val="0058158D"/>
    <w:rsid w:val="005B32C5"/>
    <w:rsid w:val="005B64A9"/>
    <w:rsid w:val="005D6F99"/>
    <w:rsid w:val="005F4E84"/>
    <w:rsid w:val="005F5165"/>
    <w:rsid w:val="006044B0"/>
    <w:rsid w:val="00612D3E"/>
    <w:rsid w:val="00643C4C"/>
    <w:rsid w:val="0067379C"/>
    <w:rsid w:val="006807CF"/>
    <w:rsid w:val="006E5B59"/>
    <w:rsid w:val="006F504F"/>
    <w:rsid w:val="00712C0A"/>
    <w:rsid w:val="00716DC7"/>
    <w:rsid w:val="00760288"/>
    <w:rsid w:val="00765DC7"/>
    <w:rsid w:val="007C10EF"/>
    <w:rsid w:val="007C635C"/>
    <w:rsid w:val="0084627A"/>
    <w:rsid w:val="00873352"/>
    <w:rsid w:val="008841D0"/>
    <w:rsid w:val="008A1024"/>
    <w:rsid w:val="008C2A95"/>
    <w:rsid w:val="008D00BA"/>
    <w:rsid w:val="008D04CE"/>
    <w:rsid w:val="008D4882"/>
    <w:rsid w:val="008F2FF4"/>
    <w:rsid w:val="008F40A6"/>
    <w:rsid w:val="009129F6"/>
    <w:rsid w:val="00915D10"/>
    <w:rsid w:val="00922520"/>
    <w:rsid w:val="00934812"/>
    <w:rsid w:val="00942400"/>
    <w:rsid w:val="009427CA"/>
    <w:rsid w:val="00942EA6"/>
    <w:rsid w:val="00993D26"/>
    <w:rsid w:val="00993FB2"/>
    <w:rsid w:val="009A41C9"/>
    <w:rsid w:val="009B340B"/>
    <w:rsid w:val="009B7E3A"/>
    <w:rsid w:val="009D778B"/>
    <w:rsid w:val="00A00164"/>
    <w:rsid w:val="00A03035"/>
    <w:rsid w:val="00A16191"/>
    <w:rsid w:val="00A2032C"/>
    <w:rsid w:val="00A315C5"/>
    <w:rsid w:val="00A3284C"/>
    <w:rsid w:val="00A47C1A"/>
    <w:rsid w:val="00A561CE"/>
    <w:rsid w:val="00A66AED"/>
    <w:rsid w:val="00A759DB"/>
    <w:rsid w:val="00A76109"/>
    <w:rsid w:val="00A77868"/>
    <w:rsid w:val="00A93879"/>
    <w:rsid w:val="00AA07A1"/>
    <w:rsid w:val="00AB3114"/>
    <w:rsid w:val="00AB4995"/>
    <w:rsid w:val="00B00D37"/>
    <w:rsid w:val="00B062FA"/>
    <w:rsid w:val="00B10CD7"/>
    <w:rsid w:val="00B11368"/>
    <w:rsid w:val="00B477B1"/>
    <w:rsid w:val="00B47C3D"/>
    <w:rsid w:val="00B84EE8"/>
    <w:rsid w:val="00BA503C"/>
    <w:rsid w:val="00BC1842"/>
    <w:rsid w:val="00BE7DDB"/>
    <w:rsid w:val="00BF7AE8"/>
    <w:rsid w:val="00C0387D"/>
    <w:rsid w:val="00C06A9A"/>
    <w:rsid w:val="00C0795D"/>
    <w:rsid w:val="00C10B67"/>
    <w:rsid w:val="00C1489B"/>
    <w:rsid w:val="00C22C0E"/>
    <w:rsid w:val="00C23DFD"/>
    <w:rsid w:val="00C37406"/>
    <w:rsid w:val="00C50A4E"/>
    <w:rsid w:val="00C5255E"/>
    <w:rsid w:val="00C53F2D"/>
    <w:rsid w:val="00C86D3C"/>
    <w:rsid w:val="00C95558"/>
    <w:rsid w:val="00CB0BF7"/>
    <w:rsid w:val="00CC10BF"/>
    <w:rsid w:val="00CD521C"/>
    <w:rsid w:val="00CD71FD"/>
    <w:rsid w:val="00CF000A"/>
    <w:rsid w:val="00D149AD"/>
    <w:rsid w:val="00D152E4"/>
    <w:rsid w:val="00D236A8"/>
    <w:rsid w:val="00D27C05"/>
    <w:rsid w:val="00D350F3"/>
    <w:rsid w:val="00D47D12"/>
    <w:rsid w:val="00D52F58"/>
    <w:rsid w:val="00D60208"/>
    <w:rsid w:val="00DA463A"/>
    <w:rsid w:val="00DB26C8"/>
    <w:rsid w:val="00DB27E6"/>
    <w:rsid w:val="00DB410A"/>
    <w:rsid w:val="00DB691F"/>
    <w:rsid w:val="00DC1135"/>
    <w:rsid w:val="00E075AB"/>
    <w:rsid w:val="00E33E6A"/>
    <w:rsid w:val="00E5318A"/>
    <w:rsid w:val="00E627A7"/>
    <w:rsid w:val="00E62A40"/>
    <w:rsid w:val="00E64969"/>
    <w:rsid w:val="00E74541"/>
    <w:rsid w:val="00E81348"/>
    <w:rsid w:val="00E846AE"/>
    <w:rsid w:val="00E913D9"/>
    <w:rsid w:val="00EA3DFD"/>
    <w:rsid w:val="00EC6D83"/>
    <w:rsid w:val="00EC70DC"/>
    <w:rsid w:val="00EE1FF7"/>
    <w:rsid w:val="00F03062"/>
    <w:rsid w:val="00F07773"/>
    <w:rsid w:val="00F23EE7"/>
    <w:rsid w:val="00F4399D"/>
    <w:rsid w:val="00F444C9"/>
    <w:rsid w:val="00F509F7"/>
    <w:rsid w:val="00F53D55"/>
    <w:rsid w:val="00F755D8"/>
    <w:rsid w:val="00F80AE9"/>
    <w:rsid w:val="00F81F64"/>
    <w:rsid w:val="00F969B3"/>
    <w:rsid w:val="00FA6AC1"/>
    <w:rsid w:val="00FD47C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uiPriority w:val="59"/>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character" w:customStyle="1" w:styleId="SC176157">
    <w:name w:val="SC176157"/>
    <w:uiPriority w:val="99"/>
    <w:rsid w:val="00F969B3"/>
    <w:rPr>
      <w:rFonts w:cs="ENGGO B+ Galliard"/>
      <w:color w:val="000000"/>
      <w:sz w:val="18"/>
      <w:szCs w:val="18"/>
    </w:rPr>
  </w:style>
  <w:style w:type="paragraph" w:styleId="NoSpacing">
    <w:name w:val="No Spacing"/>
    <w:uiPriority w:val="1"/>
    <w:qFormat/>
    <w:rsid w:val="00F969B3"/>
    <w:rPr>
      <w:sz w:val="24"/>
      <w:lang w:val="en-US" w:eastAsia="en-US"/>
    </w:rPr>
  </w:style>
  <w:style w:type="character" w:customStyle="1" w:styleId="nlmarticle-title">
    <w:name w:val="nlm_article-title"/>
    <w:basedOn w:val="DefaultParagraphFont"/>
    <w:rsid w:val="00210B23"/>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image" Target="media/image22.wmf"/><Relationship Id="rId55" Type="http://schemas.openxmlformats.org/officeDocument/2006/relationships/image" Target="media/image23.wmf"/><Relationship Id="rId63" Type="http://schemas.openxmlformats.org/officeDocument/2006/relationships/image" Target="media/image27.png"/><Relationship Id="rId68" Type="http://schemas.openxmlformats.org/officeDocument/2006/relationships/oleObject" Target="embeddings/oleObject30.bin"/><Relationship Id="rId76" Type="http://schemas.openxmlformats.org/officeDocument/2006/relationships/oleObject" Target="embeddings/oleObject33.bin"/><Relationship Id="rId8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30.png"/><Relationship Id="rId74" Type="http://schemas.openxmlformats.org/officeDocument/2006/relationships/oleObject" Target="embeddings/oleObject32.bin"/><Relationship Id="rId79" Type="http://schemas.openxmlformats.org/officeDocument/2006/relationships/image" Target="media/image38.wmf"/><Relationship Id="rId87"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6.wmf"/><Relationship Id="rId82" Type="http://schemas.openxmlformats.org/officeDocument/2006/relationships/oleObject" Target="embeddings/oleObject36.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6.bin"/><Relationship Id="rId64" Type="http://schemas.openxmlformats.org/officeDocument/2006/relationships/image" Target="media/image28.png"/><Relationship Id="rId69" Type="http://schemas.openxmlformats.org/officeDocument/2006/relationships/image" Target="media/image32.wmf"/><Relationship Id="rId77" Type="http://schemas.openxmlformats.org/officeDocument/2006/relationships/image" Target="media/image37.wmf"/><Relationship Id="rId8" Type="http://schemas.openxmlformats.org/officeDocument/2006/relationships/image" Target="media/image1.png"/><Relationship Id="rId51" Type="http://schemas.openxmlformats.org/officeDocument/2006/relationships/oleObject" Target="embeddings/oleObject22.bin"/><Relationship Id="rId72" Type="http://schemas.openxmlformats.org/officeDocument/2006/relationships/image" Target="media/image34.png"/><Relationship Id="rId80" Type="http://schemas.openxmlformats.org/officeDocument/2006/relationships/oleObject" Target="embeddings/oleObject35.bin"/><Relationship Id="rId85" Type="http://schemas.openxmlformats.org/officeDocument/2006/relationships/footer" Target="footer2.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1.bin"/><Relationship Id="rId75" Type="http://schemas.openxmlformats.org/officeDocument/2006/relationships/image" Target="media/image36.wmf"/><Relationship Id="rId8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4.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3.bin"/><Relationship Id="rId60" Type="http://schemas.openxmlformats.org/officeDocument/2006/relationships/oleObject" Target="embeddings/oleObject28.bin"/><Relationship Id="rId65" Type="http://schemas.openxmlformats.org/officeDocument/2006/relationships/image" Target="media/image29.png"/><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EA8AF-B7AB-4094-ABFE-95AA5FC0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0.dot</Template>
  <TotalTime>28</TotalTime>
  <Pages>5</Pages>
  <Words>2497</Words>
  <Characters>14235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16699</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SHANTANU DUTTA</cp:lastModifiedBy>
  <cp:revision>6</cp:revision>
  <cp:lastPrinted>2012-10-24T18:06:00Z</cp:lastPrinted>
  <dcterms:created xsi:type="dcterms:W3CDTF">2018-12-14T19:52:00Z</dcterms:created>
  <dcterms:modified xsi:type="dcterms:W3CDTF">2019-02-20T16:38:00Z</dcterms:modified>
</cp:coreProperties>
</file>