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CC4" w:rsidRPr="00EF6E2B" w:rsidRDefault="00635DF7" w:rsidP="00897446">
      <w:pPr>
        <w:pStyle w:val="Title"/>
        <w:jc w:val="center"/>
      </w:pPr>
      <w:bookmarkStart w:id="0" w:name="_GoBack"/>
      <w:r w:rsidRPr="00EF6E2B">
        <w:t xml:space="preserve">Application of </w:t>
      </w:r>
      <w:proofErr w:type="spellStart"/>
      <w:r w:rsidRPr="00EF6E2B">
        <w:t>biocementation</w:t>
      </w:r>
      <w:proofErr w:type="spellEnd"/>
      <w:r w:rsidRPr="00EF6E2B">
        <w:t xml:space="preserve"> for augmentation of mechanical properties of fly ash concrete</w:t>
      </w:r>
      <w:bookmarkEnd w:id="0"/>
    </w:p>
    <w:p w:rsidR="00DC5CC4" w:rsidRPr="00EF6E2B" w:rsidRDefault="00635DF7" w:rsidP="00301CA8">
      <w:pPr>
        <w:pStyle w:val="Author"/>
      </w:pPr>
      <w:r w:rsidRPr="00EF6E2B">
        <w:t>Snigdha P. Bhutange</w:t>
      </w:r>
      <w:r w:rsidRPr="00EF6E2B">
        <w:rPr>
          <w:vertAlign w:val="superscript"/>
        </w:rPr>
        <w:t>1*</w:t>
      </w:r>
      <w:r w:rsidRPr="00EF6E2B">
        <w:t>, M. V. Latkar</w:t>
      </w:r>
      <w:r w:rsidRPr="00EF6E2B">
        <w:rPr>
          <w:vertAlign w:val="superscript"/>
        </w:rPr>
        <w:t>2</w:t>
      </w:r>
    </w:p>
    <w:p w:rsidR="00635DF7" w:rsidRPr="00EF6E2B" w:rsidRDefault="00635DF7" w:rsidP="00635DF7">
      <w:pPr>
        <w:pStyle w:val="Affiliation"/>
      </w:pPr>
      <w:r w:rsidRPr="00EF6E2B">
        <w:rPr>
          <w:vertAlign w:val="superscript"/>
        </w:rPr>
        <w:t>1*</w:t>
      </w:r>
      <w:r w:rsidRPr="00EF6E2B">
        <w:t>Research Scholar, Civil Engineering Department, Visvesvaraya National Institute of Technology (VNIT), Nagpur – 440010, Maharashtra, India. (Corresponding Author) Email address- snigdhabhutange@students.vnit.ac.in</w:t>
      </w:r>
    </w:p>
    <w:p w:rsidR="00DC5CC4" w:rsidRPr="00EF6E2B" w:rsidRDefault="00635DF7" w:rsidP="00635DF7">
      <w:pPr>
        <w:pStyle w:val="Affiliation"/>
      </w:pPr>
      <w:r w:rsidRPr="00EF6E2B">
        <w:rPr>
          <w:vertAlign w:val="superscript"/>
        </w:rPr>
        <w:t>2</w:t>
      </w:r>
      <w:r w:rsidRPr="00EF6E2B">
        <w:t>Associate Professor, Civil Engineering Department, Visvesvaraya National Institute of Technology (VNIT), Nagpur – 440010, Maharashtra, India. Email address – mv.latkar@gmail.</w:t>
      </w:r>
    </w:p>
    <w:p w:rsidR="00DC5CC4" w:rsidRPr="00EF6E2B" w:rsidRDefault="0040761C" w:rsidP="00CE105E">
      <w:pPr>
        <w:pStyle w:val="Heading1"/>
      </w:pPr>
      <w:r w:rsidRPr="00EF6E2B">
        <w:t>Introduction</w:t>
      </w:r>
    </w:p>
    <w:p w:rsidR="00952FF5" w:rsidRPr="00EF6E2B" w:rsidRDefault="00952FF5" w:rsidP="00F262B4">
      <w:pPr>
        <w:pStyle w:val="BodyText"/>
        <w:ind w:firstLine="0"/>
      </w:pPr>
      <w:r w:rsidRPr="00EF6E2B">
        <w:t xml:space="preserve">Fine powder that is generated as a </w:t>
      </w:r>
      <w:proofErr w:type="spellStart"/>
      <w:r w:rsidRPr="00EF6E2B">
        <w:t>byproduct</w:t>
      </w:r>
      <w:proofErr w:type="spellEnd"/>
      <w:r w:rsidRPr="00EF6E2B">
        <w:t xml:space="preserve"> of burning pulverized coal in power plants is known as fly ash. Fly ashes are seen to bear </w:t>
      </w:r>
      <w:proofErr w:type="spellStart"/>
      <w:r w:rsidRPr="00EF6E2B">
        <w:t>pozzolanic</w:t>
      </w:r>
      <w:proofErr w:type="spellEnd"/>
      <w:r w:rsidRPr="00EF6E2B">
        <w:t xml:space="preserve"> and/or cementitious properties which is why they can be amended with concrete </w:t>
      </w:r>
      <w:r w:rsidR="005D7B20" w:rsidRPr="00EF6E2B">
        <w:fldChar w:fldCharType="begin" w:fldLock="1"/>
      </w:r>
      <w:r w:rsidR="00CE0D3D" w:rsidRPr="00EF6E2B">
        <w:instrText>ADDIN CSL_CITATION {"citationItems":[{"id":"ITEM-1","itemData":{"abstract":"It is a well known fact that the reaction of fly ash in concrete, only starts significantly after one or more weeks. Until this period the fly ash behaves more or less as an inert material, which only serves as a precipitation nucleus for Ca(OH) 2 and C-S-H gel originating from the cement hydration. After the initiation of the pozzolanie reaction of the fly ash, the cement paste will beeome increasingly denser. This paper gives a critical examination of the \"why\" of this \"incubation period\", it presents a model for the formation of pozzolanie reaction products and discusses the development of the pore structure.","author":[{"dropping-particle":"","family":"Fraay A.L.A., J.M. Bijen J.M.","given":"Y.M. de Haan Y.M.","non-dropping-particle":"","parse-names":false,"suffix":""}],"container-title":"CEMENT and CONCRETE RESEARCH.","id":"ITEM-1","issue":"c","issued":{"date-parts":[["1989"]]},"page":"235-246","title":"The Reaction of Fly Ash in Concrete. A erltieal Examination","type":"article-journal","volume":"19"},"uris":["http://www.mendeley.com/documents/?uuid=9e268f83-e3bb-4e83-a875-c819a71cdf4a"]}],"mendeley":{"formattedCitation":"(Fraay A.L.A., J.M. Bijen J.M., 1989)","plainTextFormattedCitation":"(Fraay A.L.A., J.M. Bijen J.M., 1989)","previouslyFormattedCitation":"(Fraay A.L.A., J.M. Bijen J.M., 1989)"},"properties":{"noteIndex":0},"schema":"https://github.com/citation-style-language/schema/raw/master/csl-citation.json"}</w:instrText>
      </w:r>
      <w:r w:rsidR="005D7B20" w:rsidRPr="00EF6E2B">
        <w:fldChar w:fldCharType="separate"/>
      </w:r>
      <w:r w:rsidR="00CE0D3D" w:rsidRPr="00EF6E2B">
        <w:rPr>
          <w:noProof/>
        </w:rPr>
        <w:t>(Fraay A.L.A., J.M. Bijen J.M., 1989)</w:t>
      </w:r>
      <w:r w:rsidR="005D7B20" w:rsidRPr="00EF6E2B">
        <w:fldChar w:fldCharType="end"/>
      </w:r>
      <w:r w:rsidRPr="00EF6E2B">
        <w:t>.</w:t>
      </w:r>
      <w:r w:rsidR="00B93AEC" w:rsidRPr="00EF6E2B">
        <w:t xml:space="preserve"> Fly ash is known to have many environmental and health hazards and thus i</w:t>
      </w:r>
      <w:r w:rsidRPr="00EF6E2B">
        <w:t>ncorporation of fly ash in cement concrete has been proved to</w:t>
      </w:r>
      <w:r w:rsidR="00B93AEC" w:rsidRPr="00EF6E2B">
        <w:t xml:space="preserve"> be a sustainable solution </w:t>
      </w:r>
      <w:r w:rsidR="005D7B20" w:rsidRPr="00EF6E2B">
        <w:fldChar w:fldCharType="begin" w:fldLock="1"/>
      </w:r>
      <w:r w:rsidR="00CE0D3D" w:rsidRPr="00EF6E2B">
        <w:instrText>ADDIN CSL_CITATION {"citationItems":[{"id":"ITEM-1","itemData":{"abstract":"Climate change is considered as major environmental challenge for the world. Emissions from cement manufacturing are one of the major contributors in global warming and climate change. Cement manufacturing is a highly energy intensive process , which involves intensive fuel consumption for clinker making and resulting in emissions. Beside Fuel consumption, the calcining process is a major source of emissions such as NOx, SOx, CO2, particulate matters etc. In this paper, the role of cement industry is reviewed in causing impact on environment and health. It describes the cement production process and its emission sources followed by overview of emissions and their environmental and health impacts. Review study has focused on emission generation from clinker production and excluded the emissions due to indirect energy (electricity, transportation, supply chain etc.) used for cement operations. This review observed a comprehensive literature in term of peer reviewed journals, industry sector reports, websi tes etc on cement industry and associated emissions and health impacts. Keywords:","author":[{"dropping-particle":"","family":"Mishra","given":"Shraddha","non-dropping-particle":"","parse-names":false,"suffix":""},{"dropping-particle":"","family":"Siddiqui","given":"Nehal Anwar","non-dropping-particle":"","parse-names":false,"suffix":""}],"container-title":"International Journal of Geology, Agriculture and Environmental Sciences","id":"ITEM-1","issue":"Issue – 3 June 2014","issued":{"date-parts":[["2014"]]},"page":"26-31","title":"A Review On Environmental and Health Impacts Of Cement Manufacturing Emissions","type":"article-journal","volume":"Volume – 2"},"uris":["http://www.mendeley.com/documents/?uuid=1ea548d1-0f47-4a86-846c-3e1241d598e5"]}],"mendeley":{"formattedCitation":"(Mishra and Siddiqui, 2014)","plainTextFormattedCitation":"(Mishra and Siddiqui, 2014)","previouslyFormattedCitation":"(Mishra and Siddiqui, 2014)"},"properties":{"noteIndex":0},"schema":"https://github.com/citation-style-language/schema/raw/master/csl-citation.json"}</w:instrText>
      </w:r>
      <w:r w:rsidR="005D7B20" w:rsidRPr="00EF6E2B">
        <w:fldChar w:fldCharType="separate"/>
      </w:r>
      <w:r w:rsidR="00CE0D3D" w:rsidRPr="00EF6E2B">
        <w:rPr>
          <w:noProof/>
        </w:rPr>
        <w:t>(Mishra and Siddiqui, 2014)</w:t>
      </w:r>
      <w:r w:rsidR="005D7B20" w:rsidRPr="00EF6E2B">
        <w:fldChar w:fldCharType="end"/>
      </w:r>
      <w:r w:rsidRPr="00EF6E2B">
        <w:t xml:space="preserve">. Even though the utilization of fly ash in concrete is a sustainable practice, incorporation of high percentages of fly ash in concrete by replacing cement results in concrete having comparatively lower strength </w:t>
      </w:r>
      <w:r w:rsidR="005D7B20" w:rsidRPr="00EF6E2B">
        <w:fldChar w:fldCharType="begin" w:fldLock="1"/>
      </w:r>
      <w:r w:rsidR="00CE0D3D" w:rsidRPr="00EF6E2B">
        <w:instrText>ADDIN CSL_CITATION {"citationItems":[{"id":"ITEM-1","itemData":{"DOI":"10.1016/j.cemconres.2004.06.040","author":[{"dropping-particle":"","family":"Berryman","given":"Charles","non-dropping-particle":"","parse-names":false,"suffix":""},{"dropping-particle":"","family":"Zhu","given":"Jingyi","non-dropping-particle":"","parse-names":false,"suffix":""},{"dropping-particle":"","family":"Jensen","given":"Wayne","non-dropping-particle":"","parse-names":false,"suffix":""},{"dropping-particle":"","family":"Tadros","given":"Maher","non-dropping-particle":"","parse-names":false,"suffix":""}],"id":"ITEM-1","issued":{"date-parts":[["2005"]]},"page":"1088-1091","title":"High-percentage replacement of cement with fly ash for reinforced concrete pipe","type":"article-journal","volume":"35"},"uris":["http://www.mendeley.com/documents/?uuid=2f1b5355-569b-4000-b00a-46d6e0d99697"]}],"mendeley":{"formattedCitation":"(Berryman &lt;i&gt;et al.&lt;/i&gt;, 2005)","plainTextFormattedCitation":"(Berryman et al., 2005)","previouslyFormattedCitation":"(Berryman &lt;i&gt;et al.&lt;/i&gt;, 2005)"},"properties":{"noteIndex":0},"schema":"https://github.com/citation-style-language/schema/raw/master/csl-citation.json"}</w:instrText>
      </w:r>
      <w:r w:rsidR="005D7B20" w:rsidRPr="00EF6E2B">
        <w:fldChar w:fldCharType="separate"/>
      </w:r>
      <w:r w:rsidR="00CE0D3D" w:rsidRPr="00EF6E2B">
        <w:rPr>
          <w:noProof/>
        </w:rPr>
        <w:t xml:space="preserve">(Berryman </w:t>
      </w:r>
      <w:r w:rsidR="00CE0D3D" w:rsidRPr="00EF6E2B">
        <w:rPr>
          <w:i/>
          <w:noProof/>
        </w:rPr>
        <w:t>et al.</w:t>
      </w:r>
      <w:r w:rsidR="00CE0D3D" w:rsidRPr="00EF6E2B">
        <w:rPr>
          <w:noProof/>
        </w:rPr>
        <w:t>, 2005)</w:t>
      </w:r>
      <w:r w:rsidR="005D7B20" w:rsidRPr="00EF6E2B">
        <w:fldChar w:fldCharType="end"/>
      </w:r>
      <w:r w:rsidRPr="00EF6E2B">
        <w:t xml:space="preserve">. Biocementation has a potential to compensate the compromised strength resulted from the replacement of cement with fly ash </w:t>
      </w:r>
      <w:r w:rsidR="005D7B20" w:rsidRPr="00EF6E2B">
        <w:fldChar w:fldCharType="begin" w:fldLock="1"/>
      </w:r>
      <w:r w:rsidR="00CE0D3D" w:rsidRPr="00EF6E2B">
        <w:instrText>ADDIN CSL_CITATION {"citationItems":[{"id":"ITEM-1","itemData":{"DOI":"10.1016/j.ecoleng.2010.11.009","ISBN":"0925-8574","ISSN":"09258574","abstract":"Fly ash acts as a partial replacement material for both Portland cement and fine aggregate. An innovative approach of microbial calcite precipitation in fly ash-amended concrete has been investigated. This is the first report to discuss the role of microbial calcite precipitation in enhancing the durability of fly ash-amended concrete. The present study investigated the effects of Bacillus megaterium ATCC 14581 on compressive strength, water absorption and water impermeability of fly ash-amended mortar and concrete. Mortar specimens were used for compressive strength and water absorption tests, while concrete specimens were used for water impermeability tests. At the fly ash concentrations of 10%, 20% and 40% in mortars, bacterial cell enhanced mortar compressive strength by 19%, 14% and 10%, respectively, compared to control specimens. Treated mortar cubes absorbed more than three times less water than control cubes as a result of microbial calcite deposition. Microbial deposition of a layer of calcite on the surface of the concrete specimens resulted in substantial decrease of water uptake and permeability compared to control specimens without bacteria. Microbial cells also prevented ingress of water effectively in different concentrations of fly ash-amended concrete. Scanning Electron Micrography (SEM) analyses evidenced the direct involvement of bacteria in calcite precipitation. The approach of the present study gives us dual environment friendly advantages. First, use of fly ash-a recovered resource reduces depletion of natural resources and also reduces the energy-intensive manufacturing of other concrete ingredients, leading to savings in both energy usage and emissions of greenhouse gases. And second, use of bacterial cells to improve strength and durability of fly ash-amended concrete further provides greener and economic options. © 2010 Elsevier B.V.","author":[{"dropping-particle":"","family":"Achal","given":"Varenyam","non-dropping-particle":"","parse-names":false,"suffix":""},{"dropping-particle":"","family":"Pan","given":"Xiangliang","non-dropping-particle":"","parse-names":false,"suffix":""},{"dropping-particle":"","family":"Özyurt","given":"Nilüfer","non-dropping-particle":"","parse-names":false,"suffix":""}],"container-title":"Ecological Engineering","id":"ITEM-1","issue":"4","issued":{"date-parts":[["2011"]]},"page":"554-559","publisher":"Elsevier B.V.","title":"Improved strength and durability of fly ash-amended concrete by microbial calcite precipitation","type":"article-journal","volume":"37"},"uris":["http://www.mendeley.com/documents/?uuid=d7e2b038-4c1c-487b-8a9b-c08756c7c8d7"]}],"mendeley":{"formattedCitation":"(Achal, Pan and Özyurt, 2011)","plainTextFormattedCitation":"(Achal, Pan and Özyurt, 2011)","previouslyFormattedCitation":"(Achal, Pan and Özyurt, 2011)"},"properties":{"noteIndex":0},"schema":"https://github.com/citation-style-language/schema/raw/master/csl-citation.json"}</w:instrText>
      </w:r>
      <w:r w:rsidR="005D7B20" w:rsidRPr="00EF6E2B">
        <w:fldChar w:fldCharType="separate"/>
      </w:r>
      <w:r w:rsidR="00CE0D3D" w:rsidRPr="00EF6E2B">
        <w:rPr>
          <w:noProof/>
        </w:rPr>
        <w:t>(Achal, Pan and Özyurt, 2011)</w:t>
      </w:r>
      <w:r w:rsidR="005D7B20" w:rsidRPr="00EF6E2B">
        <w:fldChar w:fldCharType="end"/>
      </w:r>
      <w:r w:rsidRPr="00EF6E2B">
        <w:t xml:space="preserve">.Microbially induced calcium carbonate precipitation (MICCP) is a process that occurs in nature and has </w:t>
      </w:r>
      <w:r w:rsidR="00EF6E2B" w:rsidRPr="00EF6E2B">
        <w:t>moulded</w:t>
      </w:r>
      <w:r w:rsidRPr="00EF6E2B">
        <w:t xml:space="preserve"> the entire globe </w:t>
      </w:r>
      <w:r w:rsidR="005D7B20" w:rsidRPr="00EF6E2B">
        <w:fldChar w:fldCharType="begin" w:fldLock="1"/>
      </w:r>
      <w:r w:rsidR="00CE0D3D" w:rsidRPr="00EF6E2B">
        <w:instrText>ADDIN CSL_CITATION {"citationItems":[{"id":"ITEM-1","itemData":{"DOI":"10.1016/j.cemconcomp.2013.03.024","ISBN":"1552-8618","ISSN":"09589465","PMID":"16398124","abstract":"This research presents the role of bacterial cell walls of Bacillus subtilis as a concrete admixture to improve the mechanical performance of concrete. The bacterial cell walls are known to mediate microbially induced carbonate precipitation, a process in which CaCO3is formed from Ca2+ions and dissolved CO2. Consistent with such knowledge, incorporation of bacterial cell walls increased carbonation of Ca(OH)2and formation of CaCO3in concrete. Furthermore, the bacterial cell walls significantly increased compressive strengths of concrete by 15% while also decreased porosity at 28 days of curing. Assay for CaCO3precipitation in vitro indicated that bacterial cell walls, but not dead cells, accelerated carbonation of Ca2+ions in Ca(OH)2solution. Since CaCO3formed can fill up the void, decrease the porosity and increase the compressive strength in concrete, bacterial cell walls could act as a promising concrete admixture with benefits in enhancing mechanical performance and improving other carbonation-related properties. © 2013 Elsevier Ltd. All rights reserved.","author":[{"dropping-particle":"","family":"Pei","given":"Ruoting","non-dropping-particle":"","parse-names":false,"suffix":""},{"dropping-particle":"","family":"Liu","given":"Jun","non-dropping-particle":"","parse-names":false,"suffix":""},{"dropping-particle":"","family":"Wang","given":"Shuangshuang","non-dropping-particle":"","parse-names":false,"suffix":""},{"dropping-particle":"","family":"Yang","given":"Mijia","non-dropping-particle":"","parse-names":false,"suffix":""}],"container-title":"Cement and Concrete Composites","id":"ITEM-1","issued":{"date-parts":[["2013"]]},"page":"122-130","publisher":"Elsevier Ltd","title":"Use of bacterial cell walls to improve the mechanical performance of concrete","type":"article-journal","volume":"39"},"uris":["http://www.mendeley.com/documents/?uuid=d9218ef9-cd5b-48de-a2df-d162c35fa3ff"]}],"mendeley":{"formattedCitation":"(Pei &lt;i&gt;et al.&lt;/i&gt;, 2013)","plainTextFormattedCitation":"(Pei et al., 2013)","previouslyFormattedCitation":"(Pei &lt;i&gt;et al.&lt;/i&gt;, 2013)"},"properties":{"noteIndex":0},"schema":"https://github.com/citation-style-language/schema/raw/master/csl-citation.json"}</w:instrText>
      </w:r>
      <w:r w:rsidR="005D7B20" w:rsidRPr="00EF6E2B">
        <w:fldChar w:fldCharType="separate"/>
      </w:r>
      <w:r w:rsidR="00CE0D3D" w:rsidRPr="00EF6E2B">
        <w:rPr>
          <w:noProof/>
        </w:rPr>
        <w:t xml:space="preserve">(Pei </w:t>
      </w:r>
      <w:r w:rsidR="00CE0D3D" w:rsidRPr="00EF6E2B">
        <w:rPr>
          <w:i/>
          <w:noProof/>
        </w:rPr>
        <w:t>et al.</w:t>
      </w:r>
      <w:r w:rsidR="00CE0D3D" w:rsidRPr="00EF6E2B">
        <w:rPr>
          <w:noProof/>
        </w:rPr>
        <w:t>, 2013)</w:t>
      </w:r>
      <w:r w:rsidR="005D7B20" w:rsidRPr="00EF6E2B">
        <w:fldChar w:fldCharType="end"/>
      </w:r>
      <w:r w:rsidRPr="00EF6E2B">
        <w:t xml:space="preserve">. Many natural structures such as ant hills on land and coral reefs in water are best examples of calcification occurring at ambient conditions and providing them stability. Taking note from nature, many researchers have tried to utilize this naturally occurring phenomenon for the betterment of construction materials. According to </w:t>
      </w:r>
      <w:r w:rsidR="005D7B20" w:rsidRPr="00EF6E2B">
        <w:fldChar w:fldCharType="begin" w:fldLock="1"/>
      </w:r>
      <w:r w:rsidR="00AB6D36" w:rsidRPr="00EF6E2B">
        <w:instrText>ADDIN CSL_CITATION {"citationItems":[{"id":"ITEM-1","itemData":{"DOI":"10.1016/j.promfg.2015.07.991","ISSN":"23519789","abstract":"Applications of concrete are so common, while possibilities to shape – so unusual that it's hard to imagine a civilization in its present form, without its participation. It seems to be particularly invaluable in infrastructure projects. However, recently, in these applications, where it is directly exposed and interacts with the landscape, visual perception of concrete is changing and it is now increasingly being considered as a material brutal and uncouth in its technological sincerity. Opportunity to work out a new paradigm of practice for designing sustainable infrastructure is offered by technology based on biological methods. The process of artificial biocalcification of sand through ureolysis, otherwise called biocementation can be performed with use of some microorganisms such as, for example Sporosarcina pasteurii (former Bacillus pasteurii). Its result is reminiscent of natural sandstone rock. Very interesting opportunities open up for designers in shaping the spatial forms using this technology. In a natural way, it is possible to obtain structures resembling naturally occurring rocks, called tafoni. Their complex geometry causes that their construction of concrete by means of traditionally used techniques, would be either impossible or very expensive. It is also possible to apply biological cementation for surface hardening of large areas, e.g. the surface of the shifting sand dunes, to protect against movement. Inherent advantages associated with the concrete, combined with material formed in a biological process for forming complex spatial forms can be a significant factor in the humanization of the inhabited environment.","author":[{"dropping-particle":"","family":"Tarczewski","given":"Romuald","non-dropping-particle":"","parse-names":false,"suffix":""}],"container-title":"Procedia Manufacturing","id":"ITEM-1","issue":"Ahfe","issued":{"date-parts":[["2015"]]},"page":"1704-1711","publisher":"Elsevier B.V.","title":"Formation of Sustainable Infrastructure Using Microbial Methods and Humanization of Man-made Environment","type":"article-journal","volume":"3"},"uris":["http://www.mendeley.com/documents/?uuid=f649b14f-e9db-4f95-ad99-f4b6286bf2aa"]}],"mendeley":{"formattedCitation":"(Tarczewski, 2015)","manualFormatting":"Tarczewski, (2015","plainTextFormattedCitation":"(Tarczewski, 2015)","previouslyFormattedCitation":"(Tarczewski, 2015)"},"properties":{"noteIndex":0},"schema":"https://github.com/citation-style-language/schema/raw/master/csl-citation.json"}</w:instrText>
      </w:r>
      <w:r w:rsidR="005D7B20" w:rsidRPr="00EF6E2B">
        <w:fldChar w:fldCharType="separate"/>
      </w:r>
      <w:r w:rsidR="0019373B" w:rsidRPr="00EF6E2B">
        <w:rPr>
          <w:noProof/>
        </w:rPr>
        <w:t>Tarczewski, (2015</w:t>
      </w:r>
      <w:r w:rsidR="005D7B20" w:rsidRPr="00EF6E2B">
        <w:fldChar w:fldCharType="end"/>
      </w:r>
      <w:r w:rsidR="0019373B" w:rsidRPr="00EF6E2B">
        <w:t xml:space="preserve">), </w:t>
      </w:r>
      <w:proofErr w:type="spellStart"/>
      <w:r w:rsidRPr="00EF6E2B">
        <w:t>microbially</w:t>
      </w:r>
      <w:proofErr w:type="spellEnd"/>
      <w:r w:rsidRPr="00EF6E2B">
        <w:t xml:space="preserve"> induced calcification is one of the most sustainable construction technologies and has potential to improve properties of construction materials in an eco-friendly way. Urea hydrolysis is the most eminent pathway among the several pathways of microbial calcification due to its easily controllable CaCO</w:t>
      </w:r>
      <w:r w:rsidRPr="00EF6E2B">
        <w:rPr>
          <w:vertAlign w:val="subscript"/>
        </w:rPr>
        <w:t>3</w:t>
      </w:r>
      <w:r w:rsidRPr="00EF6E2B">
        <w:t xml:space="preserve"> producing mechanism </w:t>
      </w:r>
      <w:r w:rsidR="005D7B20" w:rsidRPr="00EF6E2B">
        <w:fldChar w:fldCharType="begin" w:fldLock="1"/>
      </w:r>
      <w:r w:rsidR="00CE2F8D" w:rsidRPr="00EF6E2B">
        <w:instrText>ADDIN CSL_CITATION {"citationItems":[{"id":"ITEM-1","itemData":{"DOI":"http://researchrepository.murdoch.edu.au/399/2/02Whole.pdf","ISBN":"null","abstract":"The hydrolysis of urea by the widely distributed enzyme urease is special in that it is one of the few biologically occurring reactions that can generate carbonate ions without an associated production of protons. When this hydrolysis occurs in a calcium-rich environment, calcite (calcium carbonate) precipitates from solution forming a solid-crystalline material. The binding strength of the precipitated crystals is highly dependent on the rate of carbonate formation and under suitable conditions it is possible to control the reaction to generate hard binding calcite cement (or Biocement). The objective of this thesis was to develop an industrially suitable cost-effective microbial process for the production of urease active cells and investigate the potential for urease active cells to act as a catalyst for the production of Biocement. The biocementation capability of two suitable strains was compared. Sporosarcina pasteurii (formally Bacillus pasteurii) produced significantly higher levels of urease activity compared to Proteus vulgaris, however the level of urease activity was variable with respect to biomass suggesting that the enzyme was not constitutive as indicated by the literature, but subject to regulation. The environmental and physiological conditions for maximum urease activity in S. pasteurii were investigated and it was found that the potential urease capacity of the organism was very high (29 mM urea.min-1.OD-1) and sufficient for biocementation without additional processing (e.g. concentration, cell lysis). The regulation mechanism for S. pasteurii urease was not fully elucidated in this study, however it was shown that low specific urease activity was not due to depletion of urea nor due to the high concentrations of the main reaction product, ammonium. pH conditions were shown to have a regulatory effect on urease but it was evident that another co-regulating mechanism existed. Despite not fully exploiting the urease capability of S. pasteurii, sufficient urease activity to allow direct application of the enzyme without additional processing could still be achieved and the organism was considered suitable for biocementation. Urease was the most expensive component of the cementation process and cost-efficient production was desired, thus an economic growth procedure was developed for large-scale cultivation of S. pasteurii. The organism is a moderate alkaliphile (growth optimum pH 9.25) and it was shown that sufficient activity for bio…","author":[{"dropping-particle":"","family":"Whiffin","given":"Victoria S","non-dropping-particle":"","parse-names":false,"suffix":""}],"container-title":"Phd Thesis","id":"ITEM-1","issue":"September","issued":{"date-parts":[["2004"]]},"page":"1-162","title":"Microbial CaCO3 Precipitation for the Production of Biocement","type":"article-journal"},"uris":["http://www.mendeley.com/documents/?uuid=56948a6f-c25d-45ee-9a66-cc8c4e95e8bb"]}],"mendeley":{"formattedCitation":"(Whiffin, 2004)","plainTextFormattedCitation":"(Whiffin, 2004)","previouslyFormattedCitation":"(Whiffin, 2004)"},"properties":{"noteIndex":0},"schema":"https://github.com/citation-style-language/schema/raw/master/csl-citation.json"}</w:instrText>
      </w:r>
      <w:r w:rsidR="005D7B20" w:rsidRPr="00EF6E2B">
        <w:fldChar w:fldCharType="separate"/>
      </w:r>
      <w:r w:rsidR="00CE0D3D" w:rsidRPr="00EF6E2B">
        <w:rPr>
          <w:noProof/>
        </w:rPr>
        <w:t>(Whiffin, 2004)</w:t>
      </w:r>
      <w:r w:rsidR="005D7B20" w:rsidRPr="00EF6E2B">
        <w:fldChar w:fldCharType="end"/>
      </w:r>
      <w:r w:rsidRPr="00EF6E2B">
        <w:t>.</w:t>
      </w:r>
      <w:r w:rsidR="00BB0961" w:rsidRPr="00EF6E2B">
        <w:t xml:space="preserve"> </w:t>
      </w:r>
      <w:r w:rsidRPr="00EF6E2B">
        <w:t>Carbonate ions (CO</w:t>
      </w:r>
      <w:r w:rsidRPr="00EF6E2B">
        <w:rPr>
          <w:vertAlign w:val="subscript"/>
        </w:rPr>
        <w:t>3</w:t>
      </w:r>
      <w:r w:rsidRPr="00EF6E2B">
        <w:rPr>
          <w:vertAlign w:val="superscript"/>
        </w:rPr>
        <w:t>2−</w:t>
      </w:r>
      <w:r w:rsidRPr="00EF6E2B">
        <w:t>) are produced as a part of metabolism of bacterial mass and their conversion to CaCO</w:t>
      </w:r>
      <w:r w:rsidRPr="00EF6E2B">
        <w:rPr>
          <w:vertAlign w:val="subscript"/>
        </w:rPr>
        <w:t>3</w:t>
      </w:r>
      <w:r w:rsidRPr="00EF6E2B">
        <w:t xml:space="preserve"> when provided with Ca</w:t>
      </w:r>
      <w:r w:rsidRPr="00EF6E2B">
        <w:rPr>
          <w:vertAlign w:val="superscript"/>
        </w:rPr>
        <w:t xml:space="preserve">2+ </w:t>
      </w:r>
      <w:r w:rsidRPr="00EF6E2B">
        <w:t>is the principle involved in MICCP. The following flow chart (Fig. 1) explains the sequence of processes occurring in MICCP.</w:t>
      </w:r>
    </w:p>
    <w:p w:rsidR="00952FF5" w:rsidRPr="00EF6E2B" w:rsidRDefault="00952FF5" w:rsidP="00C36B13">
      <w:pPr>
        <w:pStyle w:val="BodyText"/>
        <w:jc w:val="center"/>
      </w:pPr>
      <w:r w:rsidRPr="00EF6E2B">
        <w:rPr>
          <w:noProof/>
          <w:lang w:val="en-US"/>
        </w:rPr>
        <w:drawing>
          <wp:inline distT="0" distB="0" distL="0" distR="0">
            <wp:extent cx="4337050" cy="1803400"/>
            <wp:effectExtent l="0" t="0" r="6350" b="635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4337050" cy="1803400"/>
                    </a:xfrm>
                    <a:prstGeom prst="rect">
                      <a:avLst/>
                    </a:prstGeom>
                  </pic:spPr>
                </pic:pic>
              </a:graphicData>
            </a:graphic>
          </wp:inline>
        </w:drawing>
      </w:r>
    </w:p>
    <w:p w:rsidR="00952FF5" w:rsidRPr="00EF6E2B" w:rsidRDefault="00B72E65" w:rsidP="00952FF5">
      <w:pPr>
        <w:pStyle w:val="BodyText"/>
        <w:jc w:val="center"/>
      </w:pPr>
      <w:r w:rsidRPr="00EF6E2B">
        <w:t xml:space="preserve">Figure 1. </w:t>
      </w:r>
      <w:r w:rsidR="00952FF5" w:rsidRPr="00EF6E2B">
        <w:t>Sequence of processes occurring in MICCP</w:t>
      </w:r>
    </w:p>
    <w:p w:rsidR="00431C3E" w:rsidRPr="00EF6E2B" w:rsidRDefault="00431C3E" w:rsidP="00952FF5">
      <w:pPr>
        <w:pStyle w:val="BodyText"/>
        <w:jc w:val="center"/>
      </w:pPr>
    </w:p>
    <w:p w:rsidR="00635DF7" w:rsidRPr="00EF6E2B" w:rsidRDefault="00952FF5" w:rsidP="00952FF5">
      <w:pPr>
        <w:pStyle w:val="BodyText"/>
      </w:pPr>
      <w:r w:rsidRPr="00EF6E2B">
        <w:t>Incorporation of bacterial mass into the matrix of construction materials is found to improve properties of construction materials. This happens due to coverage of micro voids within the matrix by CaCO</w:t>
      </w:r>
      <w:r w:rsidRPr="00EF6E2B">
        <w:rPr>
          <w:vertAlign w:val="subscript"/>
        </w:rPr>
        <w:t>3</w:t>
      </w:r>
      <w:r w:rsidRPr="00EF6E2B">
        <w:t xml:space="preserve"> precipitations f</w:t>
      </w:r>
      <w:r w:rsidR="00CE2F8D" w:rsidRPr="00EF6E2B">
        <w:t>ormed due to bacterial activity</w:t>
      </w:r>
      <w:r w:rsidRPr="00EF6E2B">
        <w:t>. Some of the soil bacteria are capable of performing the urea hydrolysis reaction with the secretion of urease enzyme as a part of their metabolism. Benefit of this phenomenon has been taken by many researchers for the improvement of construction materials.</w:t>
      </w:r>
    </w:p>
    <w:p w:rsidR="00DC5CC4" w:rsidRPr="00EF6E2B" w:rsidRDefault="00DC5CC4" w:rsidP="00BC390C">
      <w:pPr>
        <w:pStyle w:val="Heading1"/>
      </w:pPr>
      <w:r w:rsidRPr="00EF6E2B">
        <w:lastRenderedPageBreak/>
        <w:t>Material</w:t>
      </w:r>
      <w:r w:rsidR="00EF06E3" w:rsidRPr="00EF6E2B">
        <w:t>s</w:t>
      </w:r>
      <w:r w:rsidRPr="00EF6E2B">
        <w:t xml:space="preserve"> and </w:t>
      </w:r>
      <w:r w:rsidR="00200297" w:rsidRPr="00EF6E2B">
        <w:t>M</w:t>
      </w:r>
      <w:r w:rsidRPr="00EF6E2B">
        <w:t>ethods</w:t>
      </w:r>
    </w:p>
    <w:p w:rsidR="003A3DA9" w:rsidRPr="00EF6E2B" w:rsidRDefault="00C36B13" w:rsidP="003E7AD2">
      <w:pPr>
        <w:pStyle w:val="BodyText"/>
        <w:ind w:firstLine="0"/>
      </w:pPr>
      <w:r w:rsidRPr="00EF6E2B">
        <w:t>In the present study ordinary</w:t>
      </w:r>
      <w:r w:rsidR="00F5725A" w:rsidRPr="00EF6E2B">
        <w:t xml:space="preserve"> Portland cement of grade 53, </w:t>
      </w:r>
      <w:r w:rsidRPr="00EF6E2B">
        <w:t>locally available natural river sand (fine aggregate) confirming to IS 383: 1970 of zone II having specif</w:t>
      </w:r>
      <w:r w:rsidR="00CE2F8D" w:rsidRPr="00EF6E2B">
        <w:t>ic gravity of 2.60</w:t>
      </w:r>
      <w:r w:rsidR="00F5725A" w:rsidRPr="00EF6E2B">
        <w:t xml:space="preserve"> and</w:t>
      </w:r>
      <w:r w:rsidR="00CE2F8D" w:rsidRPr="00EF6E2B">
        <w:t xml:space="preserve"> </w:t>
      </w:r>
      <w:r w:rsidR="00F5725A" w:rsidRPr="00EF6E2B">
        <w:t xml:space="preserve">coarse aggregates having maximum size of 20 mm and below as per </w:t>
      </w:r>
      <w:r w:rsidR="00F5725A" w:rsidRPr="00EF6E2B">
        <w:fldChar w:fldCharType="begin" w:fldLock="1"/>
      </w:r>
      <w:r w:rsidR="00F5725A" w:rsidRPr="00EF6E2B">
        <w:instrText>ADDIN CSL_CITATION {"citationItems":[{"id":"ITEM-1","itemData":{"author":[{"dropping-particle":"","family":"383:1970","given":"IS","non-dropping-particle":"","parse-names":false,"suffix":""}],"container-title":"IS 383(Second rev.)","id":"ITEM-1","issued":{"date-parts":[["1970"]]},"page":"New Delhi,India","title":"Specification for Coarse and Fine Aggregate From Natural Sources for Concrete","type":"article-journal"},"uris":["http://www.mendeley.com/documents/?uuid=fcd8f78e-873f-46e5-9fed-da2a38e5db91"]}],"mendeley":{"formattedCitation":"(383:1970, 1970)","manualFormatting":"IS 383:1970","plainTextFormattedCitation":"(383:1970, 1970)","previouslyFormattedCitation":"(383:1970, 1970)"},"properties":{"noteIndex":0},"schema":"https://github.com/citation-style-language/schema/raw/master/csl-citation.json"}</w:instrText>
      </w:r>
      <w:r w:rsidR="00F5725A" w:rsidRPr="00EF6E2B">
        <w:fldChar w:fldCharType="separate"/>
      </w:r>
      <w:r w:rsidR="00F5725A" w:rsidRPr="00EF6E2B">
        <w:rPr>
          <w:noProof/>
        </w:rPr>
        <w:t>IS 383:1970</w:t>
      </w:r>
      <w:r w:rsidR="00F5725A" w:rsidRPr="00EF6E2B">
        <w:fldChar w:fldCharType="end"/>
      </w:r>
      <w:r w:rsidR="00F5725A" w:rsidRPr="00EF6E2B">
        <w:t xml:space="preserve"> </w:t>
      </w:r>
      <w:r w:rsidR="00CE2F8D" w:rsidRPr="00EF6E2B">
        <w:t>were used</w:t>
      </w:r>
      <w:r w:rsidRPr="00EF6E2B">
        <w:t xml:space="preserve">. Locally available tap water confirming to </w:t>
      </w:r>
      <w:r w:rsidR="005D7B20" w:rsidRPr="00EF6E2B">
        <w:fldChar w:fldCharType="begin" w:fldLock="1"/>
      </w:r>
      <w:r w:rsidR="00EF6E2B">
        <w:instrText>ADDIN CSL_CITATION {"citationItems":[{"id":"ITEM-1","itemData":{"author":[{"dropping-particle":"","family":"IS456:2000","given":"","non-dropping-particle":"","parse-names":false,"suffix":""}],"id":"ITEM-1","issue":"July","issued":{"date-parts":[["2000"]]},"title":"Bureau of Indian Standard (BIS). Plain and reinforced concrete- code of practice: IS 456,","type":"article-journal"},"uris":["http://www.mendeley.com/documents/?uuid=2b2abc99-f0ed-4556-a881-8b5a1d4a6638"]}],"mendeley":{"formattedCitation":"(IS456:2000, 2000)","manualFormatting":"IS 456:2000 ","plainTextFormattedCitation":"(IS456:2000, 2000)","previouslyFormattedCitation":"(IS456:2000, 2000)"},"properties":{"noteIndex":0},"schema":"https://github.com/citation-style-language/schema/raw/master/csl-citation.json"}</w:instrText>
      </w:r>
      <w:r w:rsidR="005D7B20" w:rsidRPr="00EF6E2B">
        <w:fldChar w:fldCharType="separate"/>
      </w:r>
      <w:r w:rsidR="00CE2F8D" w:rsidRPr="00EF6E2B">
        <w:rPr>
          <w:noProof/>
        </w:rPr>
        <w:t>IS</w:t>
      </w:r>
      <w:r w:rsidR="00EF6E2B">
        <w:rPr>
          <w:noProof/>
        </w:rPr>
        <w:t xml:space="preserve"> </w:t>
      </w:r>
      <w:r w:rsidR="00CE2F8D" w:rsidRPr="00EF6E2B">
        <w:rPr>
          <w:noProof/>
        </w:rPr>
        <w:t xml:space="preserve">456:2000 </w:t>
      </w:r>
      <w:r w:rsidR="005D7B20" w:rsidRPr="00EF6E2B">
        <w:fldChar w:fldCharType="end"/>
      </w:r>
      <w:r w:rsidR="0028423D" w:rsidRPr="00EF6E2B">
        <w:t>was used throughout the study. The fly ash used was c</w:t>
      </w:r>
      <w:r w:rsidRPr="00EF6E2B">
        <w:t xml:space="preserve">lass F fly ash obtained from </w:t>
      </w:r>
      <w:proofErr w:type="spellStart"/>
      <w:r w:rsidRPr="00EF6E2B">
        <w:t>Koradi</w:t>
      </w:r>
      <w:proofErr w:type="spellEnd"/>
      <w:r w:rsidRPr="00EF6E2B">
        <w:t xml:space="preserve"> thermal power plant, Maharashtra, India </w:t>
      </w:r>
      <w:r w:rsidR="005D7B20" w:rsidRPr="00EF6E2B">
        <w:fldChar w:fldCharType="begin" w:fldLock="1"/>
      </w:r>
      <w:r w:rsidR="00CE2F8D" w:rsidRPr="00EF6E2B">
        <w:instrText>ADDIN CSL_CITATION {"citationItems":[{"id":"ITEM-1","itemData":{"author":[{"dropping-particle":"","family":"ASTMC618-03","given":"","non-dropping-particle":"","parse-names":false,"suffix":""}],"id":"ITEM-1","issued":{"date-parts":[["2002"]]},"page":"1-3","title":"Standard Specification for Coal Fly Ash and Raw or Calcined Natural Pozzolan for Use","type":"article-journal"},"uris":["http://www.mendeley.com/documents/?uuid=2194fed3-9fb6-483a-9867-aaf77743a6c8"]}],"mendeley":{"formattedCitation":"(ASTMC618-03, 2002)","manualFormatting":"(ASTM C 618-03, 2002)","plainTextFormattedCitation":"(ASTMC618-03, 2002)","previouslyFormattedCitation":"(ASTMC618-03, 2002)"},"properties":{"noteIndex":0},"schema":"https://github.com/citation-style-language/schema/raw/master/csl-citation.json"}</w:instrText>
      </w:r>
      <w:r w:rsidR="005D7B20" w:rsidRPr="00EF6E2B">
        <w:fldChar w:fldCharType="separate"/>
      </w:r>
      <w:r w:rsidR="00CE2F8D" w:rsidRPr="00EF6E2B">
        <w:rPr>
          <w:noProof/>
        </w:rPr>
        <w:t>(ASTMC618-03, 2002)</w:t>
      </w:r>
      <w:r w:rsidR="005D7B20" w:rsidRPr="00EF6E2B">
        <w:fldChar w:fldCharType="end"/>
      </w:r>
      <w:r w:rsidRPr="00EF6E2B">
        <w:t>.</w:t>
      </w:r>
      <w:r w:rsidR="008E7007" w:rsidRPr="00EF6E2B">
        <w:t xml:space="preserve"> </w:t>
      </w:r>
      <w:proofErr w:type="spellStart"/>
      <w:r w:rsidR="008E7007" w:rsidRPr="00EF6E2B">
        <w:t>R</w:t>
      </w:r>
      <w:r w:rsidRPr="00EF6E2B">
        <w:t>hizospheric</w:t>
      </w:r>
      <w:proofErr w:type="spellEnd"/>
      <w:r w:rsidRPr="00EF6E2B">
        <w:t xml:space="preserve"> soil collected from garden was used as a mixed bacterial source. Tap water was used for the preparation of bacterial solution. Low cost ingredients were </w:t>
      </w:r>
      <w:r w:rsidR="003A3DA9" w:rsidRPr="00EF6E2B">
        <w:t>used to</w:t>
      </w:r>
      <w:r w:rsidRPr="00EF6E2B">
        <w:t xml:space="preserve"> provide nutrients to</w:t>
      </w:r>
      <w:r w:rsidR="00F83766" w:rsidRPr="00EF6E2B">
        <w:t xml:space="preserve"> grow the bacteria. Table 1</w:t>
      </w:r>
      <w:r w:rsidRPr="00EF6E2B">
        <w:t xml:space="preserve"> shows the composition of growth medium used to grow mixed culture of </w:t>
      </w:r>
      <w:r w:rsidR="00EF6E2B" w:rsidRPr="00EF6E2B">
        <w:t>bacteria. The</w:t>
      </w:r>
      <w:r w:rsidR="003A3DA9" w:rsidRPr="00EF6E2B">
        <w:t xml:space="preserve"> mix design was done as per IS 10262: 2009 to develop 28 days compressive strength of 30 MPa and slump of 70–100 mm by using tap water, control 1 solution and bacterial solution</w:t>
      </w:r>
      <w:r w:rsidR="00FE7C20" w:rsidRPr="00EF6E2B">
        <w:t xml:space="preserve"> </w:t>
      </w:r>
      <w:r w:rsidR="003A3DA9" w:rsidRPr="00EF6E2B">
        <w:t>having a</w:t>
      </w:r>
      <w:r w:rsidR="00CE2F8D" w:rsidRPr="00EF6E2B">
        <w:t xml:space="preserve"> composition as shown </w:t>
      </w:r>
      <w:r w:rsidR="00F83766" w:rsidRPr="00EF6E2B">
        <w:t>in table 1</w:t>
      </w:r>
      <w:r w:rsidR="005D7B20" w:rsidRPr="00EF6E2B">
        <w:fldChar w:fldCharType="begin" w:fldLock="1"/>
      </w:r>
      <w:r w:rsidR="00AB6D36" w:rsidRPr="00EF6E2B">
        <w:instrText>ADDIN CSL_CITATION {"citationItems":[{"id":"ITEM-1","itemData":{"DOI":"10.1002/ajpa.22079","ISBN":"1096-8644","ISSN":"00029483","PMID":"22552966","abstract":"Male Sumatran orangutans (Pongo abelii) may delay for many years the\\nacquisition of the full array of secondary sexual traits, including\\ntheir characteristic cheek flanges. Such flexible developmental arrest\\nis unique among male primates. Among male Bornean orangutans (Pongo\\npygmaeus) such long delays appear less common. Here, we develop a\\nsimple model to identify the conditions under which developmental\\narrest can be adaptive. We show that the baseline strategy (i.e.,\\nmales are not susceptible to arrest) cannot be invaded by the flexible\\nstrategy (i.e., males can arrest their development when the conditions\\nare unfavorable) when the potential for high-ranking unflanged or\\nflanged males to monopolize sexual access to females is low. In contrast,\\nat high monopolization potential, the flexible strategy is the evolutionarily\\nstable strategy. We also derive the proportion of flanged males in\\nthe population for each combination of monopolization values. This\\nmodel concurs with field data that found a different monopolization\\npotential between Bornean and Sumatran flanged males and a lower\\nproportion of flanged males in the population in Sumatran orangutans.\\nPronounced developmental arrest is linked to very low adult mortality,\\nwhich explains why it is so limited in its taxonomic distribution.","author":[{"dropping-particle":"","family":"IS10262:2009","given":"","non-dropping-particle":"","parse-names":false,"suffix":""}],"id":"ITEM-1","issued":{"date-parts":[["2009"]]},"title":"Concrete mix proportioning - Guidelines (First Revision)","type":"article"},"uris":["http://www.mendeley.com/documents/?uuid=32831642-ea31-45b2-889f-70d1e1db9e33"]}],"mendeley":{"formattedCitation":"(IS10262:2009, 2009)","manualFormatting":"(IS 10262: 2009)","plainTextFormattedCitation":"(IS10262:2009, 2009)","previouslyFormattedCitation":"(IS10262:2009, 2009)"},"properties":{"noteIndex":0},"schema":"https://github.com/citation-style-language/schema/raw/master/csl-citation.json"}</w:instrText>
      </w:r>
      <w:r w:rsidR="005D7B20" w:rsidRPr="00EF6E2B">
        <w:fldChar w:fldCharType="separate"/>
      </w:r>
      <w:r w:rsidR="00AB6D36" w:rsidRPr="00EF6E2B">
        <w:rPr>
          <w:noProof/>
        </w:rPr>
        <w:t>(IS 10262: 2009)</w:t>
      </w:r>
      <w:r w:rsidR="005D7B20" w:rsidRPr="00EF6E2B">
        <w:fldChar w:fldCharType="end"/>
      </w:r>
      <w:r w:rsidR="003A3DA9" w:rsidRPr="00EF6E2B">
        <w:t>.</w:t>
      </w:r>
    </w:p>
    <w:p w:rsidR="003A3DA9" w:rsidRPr="00EF6E2B" w:rsidRDefault="003A3DA9" w:rsidP="003A3DA9">
      <w:pPr>
        <w:pStyle w:val="BodyText"/>
      </w:pPr>
    </w:p>
    <w:p w:rsidR="003A3DA9" w:rsidRPr="00EF6E2B" w:rsidRDefault="003A3DA9" w:rsidP="003A3DA9">
      <w:pPr>
        <w:pStyle w:val="BodyText"/>
      </w:pPr>
      <w:r w:rsidRPr="00EF6E2B">
        <w:rPr>
          <w:b/>
        </w:rPr>
        <w:t>Table 1</w:t>
      </w:r>
      <w:r w:rsidR="0019373B" w:rsidRPr="00EF6E2B">
        <w:rPr>
          <w:b/>
        </w:rPr>
        <w:t>.</w:t>
      </w:r>
      <w:r w:rsidR="0019373B" w:rsidRPr="00EF6E2B">
        <w:t>Constituents of control, control 1 and bacterial solution</w:t>
      </w:r>
    </w:p>
    <w:p w:rsidR="00F83766" w:rsidRPr="00EF6E2B" w:rsidRDefault="00F83766" w:rsidP="003A3DA9">
      <w:pPr>
        <w:pStyle w:val="BodyText"/>
      </w:pPr>
    </w:p>
    <w:tbl>
      <w:tblPr>
        <w:tblW w:w="10795" w:type="dxa"/>
        <w:tblInd w:w="-630" w:type="dxa"/>
        <w:tblBorders>
          <w:top w:val="single" w:sz="4" w:space="0" w:color="auto"/>
          <w:bottom w:val="single" w:sz="4" w:space="0" w:color="auto"/>
        </w:tblBorders>
        <w:tblLook w:val="04A0" w:firstRow="1" w:lastRow="0" w:firstColumn="1" w:lastColumn="0" w:noHBand="0" w:noVBand="1"/>
      </w:tblPr>
      <w:tblGrid>
        <w:gridCol w:w="1988"/>
        <w:gridCol w:w="2421"/>
        <w:gridCol w:w="2066"/>
        <w:gridCol w:w="2160"/>
        <w:gridCol w:w="2160"/>
      </w:tblGrid>
      <w:tr w:rsidR="00EF6E2B" w:rsidRPr="00EF6E2B" w:rsidTr="00F83766">
        <w:trPr>
          <w:trHeight w:hRule="exact" w:val="595"/>
        </w:trPr>
        <w:tc>
          <w:tcPr>
            <w:tcW w:w="1988" w:type="dxa"/>
            <w:tcBorders>
              <w:top w:val="single" w:sz="4" w:space="0" w:color="auto"/>
              <w:bottom w:val="single" w:sz="4" w:space="0" w:color="auto"/>
            </w:tcBorders>
          </w:tcPr>
          <w:p w:rsidR="00F83766" w:rsidRPr="00EF6E2B" w:rsidRDefault="00F83766" w:rsidP="00F83766">
            <w:pPr>
              <w:pStyle w:val="BodyText"/>
              <w:rPr>
                <w:b/>
                <w:lang w:val="en-US"/>
              </w:rPr>
            </w:pPr>
            <w:r w:rsidRPr="00EF6E2B">
              <w:rPr>
                <w:b/>
                <w:lang w:val="en-US"/>
              </w:rPr>
              <w:t>Purpose</w:t>
            </w:r>
          </w:p>
        </w:tc>
        <w:tc>
          <w:tcPr>
            <w:tcW w:w="2421" w:type="dxa"/>
            <w:tcBorders>
              <w:top w:val="single" w:sz="4" w:space="0" w:color="auto"/>
              <w:bottom w:val="single" w:sz="4" w:space="0" w:color="auto"/>
            </w:tcBorders>
            <w:hideMark/>
          </w:tcPr>
          <w:p w:rsidR="00F83766" w:rsidRPr="00EF6E2B" w:rsidRDefault="00F83766" w:rsidP="00F83766">
            <w:pPr>
              <w:pStyle w:val="BodyText"/>
              <w:rPr>
                <w:b/>
                <w:lang w:val="en-US"/>
              </w:rPr>
            </w:pPr>
            <w:r w:rsidRPr="00EF6E2B">
              <w:rPr>
                <w:b/>
                <w:lang w:val="en-US"/>
              </w:rPr>
              <w:t>Constituent</w:t>
            </w:r>
          </w:p>
          <w:p w:rsidR="00F83766" w:rsidRPr="00EF6E2B" w:rsidRDefault="00F83766" w:rsidP="00F83766">
            <w:pPr>
              <w:pStyle w:val="BodyText"/>
              <w:rPr>
                <w:b/>
                <w:lang w:val="en-US"/>
              </w:rPr>
            </w:pPr>
            <w:r w:rsidRPr="00EF6E2B">
              <w:rPr>
                <w:b/>
                <w:lang w:val="en-US"/>
              </w:rPr>
              <w:t>(g/l of water)</w:t>
            </w:r>
          </w:p>
        </w:tc>
        <w:tc>
          <w:tcPr>
            <w:tcW w:w="2066" w:type="dxa"/>
            <w:tcBorders>
              <w:top w:val="single" w:sz="4" w:space="0" w:color="auto"/>
              <w:bottom w:val="single" w:sz="4" w:space="0" w:color="auto"/>
            </w:tcBorders>
            <w:hideMark/>
          </w:tcPr>
          <w:p w:rsidR="00F83766" w:rsidRPr="00EF6E2B" w:rsidRDefault="00F83766" w:rsidP="00F83766">
            <w:pPr>
              <w:pStyle w:val="BodyText"/>
              <w:rPr>
                <w:b/>
                <w:lang w:val="en-US"/>
              </w:rPr>
            </w:pPr>
            <w:r w:rsidRPr="00EF6E2B">
              <w:rPr>
                <w:b/>
                <w:lang w:val="en-US"/>
              </w:rPr>
              <w:t>Control Solution/Tap water</w:t>
            </w:r>
          </w:p>
        </w:tc>
        <w:tc>
          <w:tcPr>
            <w:tcW w:w="2160" w:type="dxa"/>
            <w:tcBorders>
              <w:top w:val="single" w:sz="4" w:space="0" w:color="auto"/>
              <w:bottom w:val="single" w:sz="4" w:space="0" w:color="auto"/>
            </w:tcBorders>
            <w:hideMark/>
          </w:tcPr>
          <w:p w:rsidR="00F83766" w:rsidRPr="00EF6E2B" w:rsidRDefault="00F83766" w:rsidP="00F83766">
            <w:pPr>
              <w:pStyle w:val="BodyText"/>
              <w:rPr>
                <w:b/>
                <w:lang w:val="en-US"/>
              </w:rPr>
            </w:pPr>
            <w:r w:rsidRPr="00EF6E2B">
              <w:rPr>
                <w:b/>
                <w:lang w:val="en-US"/>
              </w:rPr>
              <w:t>Control1solution</w:t>
            </w:r>
          </w:p>
        </w:tc>
        <w:tc>
          <w:tcPr>
            <w:tcW w:w="2160" w:type="dxa"/>
            <w:tcBorders>
              <w:top w:val="single" w:sz="4" w:space="0" w:color="auto"/>
              <w:bottom w:val="single" w:sz="4" w:space="0" w:color="auto"/>
            </w:tcBorders>
            <w:hideMark/>
          </w:tcPr>
          <w:p w:rsidR="00F83766" w:rsidRPr="00EF6E2B" w:rsidRDefault="00F83766" w:rsidP="00F83766">
            <w:pPr>
              <w:pStyle w:val="BodyText"/>
              <w:rPr>
                <w:b/>
                <w:lang w:val="en-US"/>
              </w:rPr>
            </w:pPr>
            <w:r w:rsidRPr="00EF6E2B">
              <w:rPr>
                <w:b/>
                <w:lang w:val="en-US"/>
              </w:rPr>
              <w:t>Bacterial solution</w:t>
            </w:r>
          </w:p>
        </w:tc>
      </w:tr>
      <w:tr w:rsidR="00EF6E2B" w:rsidRPr="00EF6E2B" w:rsidTr="00F83766">
        <w:trPr>
          <w:trHeight w:hRule="exact" w:val="262"/>
        </w:trPr>
        <w:tc>
          <w:tcPr>
            <w:tcW w:w="1988" w:type="dxa"/>
            <w:tcBorders>
              <w:top w:val="single" w:sz="4" w:space="0" w:color="auto"/>
            </w:tcBorders>
          </w:tcPr>
          <w:p w:rsidR="00F83766" w:rsidRPr="00EF6E2B" w:rsidRDefault="00F83766" w:rsidP="00F83766">
            <w:pPr>
              <w:pStyle w:val="BodyText"/>
              <w:rPr>
                <w:lang w:val="en-US"/>
              </w:rPr>
            </w:pPr>
            <w:r w:rsidRPr="00EF6E2B">
              <w:rPr>
                <w:lang w:val="en-US"/>
              </w:rPr>
              <w:t>Bacterial source</w:t>
            </w:r>
          </w:p>
        </w:tc>
        <w:tc>
          <w:tcPr>
            <w:tcW w:w="2421" w:type="dxa"/>
            <w:tcBorders>
              <w:top w:val="single" w:sz="4" w:space="0" w:color="auto"/>
            </w:tcBorders>
            <w:hideMark/>
          </w:tcPr>
          <w:p w:rsidR="00F83766" w:rsidRPr="00EF6E2B" w:rsidRDefault="00F83766" w:rsidP="00F83766">
            <w:pPr>
              <w:pStyle w:val="BodyText"/>
              <w:rPr>
                <w:lang w:val="en-US"/>
              </w:rPr>
            </w:pPr>
            <w:r w:rsidRPr="00EF6E2B">
              <w:rPr>
                <w:lang w:val="en-US"/>
              </w:rPr>
              <w:t xml:space="preserve">Soil </w:t>
            </w:r>
          </w:p>
        </w:tc>
        <w:tc>
          <w:tcPr>
            <w:tcW w:w="2066" w:type="dxa"/>
            <w:tcBorders>
              <w:top w:val="single" w:sz="4" w:space="0" w:color="auto"/>
            </w:tcBorders>
            <w:hideMark/>
          </w:tcPr>
          <w:p w:rsidR="00F83766" w:rsidRPr="00EF6E2B" w:rsidRDefault="00F83766" w:rsidP="00F83766">
            <w:pPr>
              <w:pStyle w:val="BodyText"/>
              <w:rPr>
                <w:lang w:val="en-US"/>
              </w:rPr>
            </w:pPr>
            <w:r w:rsidRPr="00EF6E2B">
              <w:rPr>
                <w:lang w:val="en-US"/>
              </w:rPr>
              <w:t>0</w:t>
            </w:r>
          </w:p>
        </w:tc>
        <w:tc>
          <w:tcPr>
            <w:tcW w:w="2160" w:type="dxa"/>
            <w:tcBorders>
              <w:top w:val="single" w:sz="4" w:space="0" w:color="auto"/>
            </w:tcBorders>
            <w:hideMark/>
          </w:tcPr>
          <w:p w:rsidR="00F83766" w:rsidRPr="00EF6E2B" w:rsidRDefault="00F83766" w:rsidP="00F83766">
            <w:pPr>
              <w:pStyle w:val="BodyText"/>
              <w:rPr>
                <w:lang w:val="en-US"/>
              </w:rPr>
            </w:pPr>
            <w:r w:rsidRPr="00EF6E2B">
              <w:rPr>
                <w:lang w:val="en-US"/>
              </w:rPr>
              <w:t>0</w:t>
            </w:r>
          </w:p>
        </w:tc>
        <w:tc>
          <w:tcPr>
            <w:tcW w:w="2160" w:type="dxa"/>
            <w:tcBorders>
              <w:top w:val="single" w:sz="4" w:space="0" w:color="auto"/>
            </w:tcBorders>
            <w:hideMark/>
          </w:tcPr>
          <w:p w:rsidR="00F83766" w:rsidRPr="00EF6E2B" w:rsidRDefault="00F83766" w:rsidP="00F83766">
            <w:pPr>
              <w:pStyle w:val="BodyText"/>
              <w:rPr>
                <w:lang w:val="en-US"/>
              </w:rPr>
            </w:pPr>
            <w:r w:rsidRPr="00EF6E2B">
              <w:rPr>
                <w:lang w:val="en-US"/>
              </w:rPr>
              <w:t>200</w:t>
            </w:r>
          </w:p>
        </w:tc>
      </w:tr>
      <w:tr w:rsidR="00EF6E2B" w:rsidRPr="00EF6E2B" w:rsidTr="00F83766">
        <w:trPr>
          <w:trHeight w:hRule="exact" w:val="271"/>
        </w:trPr>
        <w:tc>
          <w:tcPr>
            <w:tcW w:w="1988" w:type="dxa"/>
          </w:tcPr>
          <w:p w:rsidR="00F83766" w:rsidRPr="00EF6E2B" w:rsidRDefault="00F83766" w:rsidP="00F83766">
            <w:pPr>
              <w:pStyle w:val="BodyText"/>
              <w:rPr>
                <w:lang w:val="en-US"/>
              </w:rPr>
            </w:pPr>
            <w:r w:rsidRPr="00EF6E2B">
              <w:rPr>
                <w:lang w:val="en-US"/>
              </w:rPr>
              <w:t>Protein source</w:t>
            </w:r>
          </w:p>
        </w:tc>
        <w:tc>
          <w:tcPr>
            <w:tcW w:w="2421" w:type="dxa"/>
            <w:hideMark/>
          </w:tcPr>
          <w:p w:rsidR="00F83766" w:rsidRPr="00EF6E2B" w:rsidRDefault="00F83766" w:rsidP="00F83766">
            <w:pPr>
              <w:pStyle w:val="BodyText"/>
              <w:rPr>
                <w:lang w:val="en-US"/>
              </w:rPr>
            </w:pPr>
            <w:r w:rsidRPr="00EF6E2B">
              <w:rPr>
                <w:lang w:val="en-US"/>
              </w:rPr>
              <w:t xml:space="preserve">Lentil seed powder </w:t>
            </w:r>
          </w:p>
        </w:tc>
        <w:tc>
          <w:tcPr>
            <w:tcW w:w="2066" w:type="dxa"/>
            <w:hideMark/>
          </w:tcPr>
          <w:p w:rsidR="00F83766" w:rsidRPr="00EF6E2B" w:rsidRDefault="00F83766" w:rsidP="00F83766">
            <w:pPr>
              <w:pStyle w:val="BodyText"/>
              <w:rPr>
                <w:lang w:val="en-US"/>
              </w:rPr>
            </w:pPr>
            <w:r w:rsidRPr="00EF6E2B">
              <w:rPr>
                <w:lang w:val="en-US"/>
              </w:rPr>
              <w:t>0</w:t>
            </w:r>
          </w:p>
        </w:tc>
        <w:tc>
          <w:tcPr>
            <w:tcW w:w="2160" w:type="dxa"/>
            <w:hideMark/>
          </w:tcPr>
          <w:p w:rsidR="00F83766" w:rsidRPr="00EF6E2B" w:rsidRDefault="00F83766" w:rsidP="00F83766">
            <w:pPr>
              <w:pStyle w:val="BodyText"/>
              <w:rPr>
                <w:lang w:val="en-US"/>
              </w:rPr>
            </w:pPr>
            <w:r w:rsidRPr="00EF6E2B">
              <w:rPr>
                <w:lang w:val="en-US"/>
              </w:rPr>
              <w:t>10</w:t>
            </w:r>
          </w:p>
        </w:tc>
        <w:tc>
          <w:tcPr>
            <w:tcW w:w="2160" w:type="dxa"/>
            <w:hideMark/>
          </w:tcPr>
          <w:p w:rsidR="00F83766" w:rsidRPr="00EF6E2B" w:rsidRDefault="00F83766" w:rsidP="00F83766">
            <w:pPr>
              <w:pStyle w:val="BodyText"/>
              <w:rPr>
                <w:lang w:val="en-US"/>
              </w:rPr>
            </w:pPr>
            <w:r w:rsidRPr="00EF6E2B">
              <w:rPr>
                <w:lang w:val="en-US"/>
              </w:rPr>
              <w:t>10</w:t>
            </w:r>
          </w:p>
        </w:tc>
      </w:tr>
      <w:tr w:rsidR="00EF6E2B" w:rsidRPr="00EF6E2B" w:rsidTr="00F83766">
        <w:trPr>
          <w:trHeight w:hRule="exact" w:val="271"/>
        </w:trPr>
        <w:tc>
          <w:tcPr>
            <w:tcW w:w="1988" w:type="dxa"/>
          </w:tcPr>
          <w:p w:rsidR="00F83766" w:rsidRPr="00EF6E2B" w:rsidRDefault="00F83766" w:rsidP="00F83766">
            <w:pPr>
              <w:pStyle w:val="BodyText"/>
              <w:rPr>
                <w:lang w:val="en-US"/>
              </w:rPr>
            </w:pPr>
            <w:r w:rsidRPr="00EF6E2B">
              <w:rPr>
                <w:lang w:val="en-US"/>
              </w:rPr>
              <w:t>Vitamin source</w:t>
            </w:r>
          </w:p>
        </w:tc>
        <w:tc>
          <w:tcPr>
            <w:tcW w:w="2421" w:type="dxa"/>
            <w:hideMark/>
          </w:tcPr>
          <w:p w:rsidR="00F83766" w:rsidRPr="00EF6E2B" w:rsidRDefault="00F83766" w:rsidP="00F83766">
            <w:pPr>
              <w:pStyle w:val="BodyText"/>
              <w:rPr>
                <w:lang w:val="en-US"/>
              </w:rPr>
            </w:pPr>
            <w:r w:rsidRPr="00EF6E2B">
              <w:rPr>
                <w:lang w:val="en-US"/>
              </w:rPr>
              <w:t xml:space="preserve">Meat extract </w:t>
            </w:r>
          </w:p>
        </w:tc>
        <w:tc>
          <w:tcPr>
            <w:tcW w:w="2066" w:type="dxa"/>
            <w:hideMark/>
          </w:tcPr>
          <w:p w:rsidR="00F83766" w:rsidRPr="00EF6E2B" w:rsidRDefault="00F83766" w:rsidP="00F83766">
            <w:pPr>
              <w:pStyle w:val="BodyText"/>
              <w:rPr>
                <w:lang w:val="en-US"/>
              </w:rPr>
            </w:pPr>
            <w:r w:rsidRPr="00EF6E2B">
              <w:rPr>
                <w:lang w:val="en-US"/>
              </w:rPr>
              <w:t>0</w:t>
            </w:r>
          </w:p>
        </w:tc>
        <w:tc>
          <w:tcPr>
            <w:tcW w:w="2160" w:type="dxa"/>
            <w:hideMark/>
          </w:tcPr>
          <w:p w:rsidR="00F83766" w:rsidRPr="00EF6E2B" w:rsidRDefault="00F83766" w:rsidP="00F83766">
            <w:pPr>
              <w:pStyle w:val="BodyText"/>
              <w:rPr>
                <w:lang w:val="en-US"/>
              </w:rPr>
            </w:pPr>
            <w:r w:rsidRPr="00EF6E2B">
              <w:rPr>
                <w:lang w:val="en-US"/>
              </w:rPr>
              <w:t>3</w:t>
            </w:r>
          </w:p>
        </w:tc>
        <w:tc>
          <w:tcPr>
            <w:tcW w:w="2160" w:type="dxa"/>
            <w:hideMark/>
          </w:tcPr>
          <w:p w:rsidR="00F83766" w:rsidRPr="00EF6E2B" w:rsidRDefault="00F83766" w:rsidP="00F83766">
            <w:pPr>
              <w:pStyle w:val="BodyText"/>
              <w:rPr>
                <w:lang w:val="en-US"/>
              </w:rPr>
            </w:pPr>
            <w:r w:rsidRPr="00EF6E2B">
              <w:rPr>
                <w:lang w:val="en-US"/>
              </w:rPr>
              <w:t>3</w:t>
            </w:r>
          </w:p>
        </w:tc>
      </w:tr>
      <w:tr w:rsidR="00EF6E2B" w:rsidRPr="00EF6E2B" w:rsidTr="00F83766">
        <w:trPr>
          <w:trHeight w:hRule="exact" w:val="271"/>
        </w:trPr>
        <w:tc>
          <w:tcPr>
            <w:tcW w:w="1988" w:type="dxa"/>
          </w:tcPr>
          <w:p w:rsidR="00F83766" w:rsidRPr="00EF6E2B" w:rsidRDefault="00F83766" w:rsidP="00F83766">
            <w:pPr>
              <w:pStyle w:val="BodyText"/>
              <w:rPr>
                <w:lang w:val="en-US"/>
              </w:rPr>
            </w:pPr>
            <w:r w:rsidRPr="00EF6E2B">
              <w:rPr>
                <w:lang w:val="en-US"/>
              </w:rPr>
              <w:t>Carbon source</w:t>
            </w:r>
          </w:p>
        </w:tc>
        <w:tc>
          <w:tcPr>
            <w:tcW w:w="2421" w:type="dxa"/>
            <w:hideMark/>
          </w:tcPr>
          <w:p w:rsidR="00F83766" w:rsidRPr="00EF6E2B" w:rsidRDefault="00F83766" w:rsidP="00F83766">
            <w:pPr>
              <w:pStyle w:val="BodyText"/>
              <w:rPr>
                <w:lang w:val="en-US"/>
              </w:rPr>
            </w:pPr>
            <w:r w:rsidRPr="00EF6E2B">
              <w:rPr>
                <w:lang w:val="en-US"/>
              </w:rPr>
              <w:t xml:space="preserve">Sugar </w:t>
            </w:r>
          </w:p>
        </w:tc>
        <w:tc>
          <w:tcPr>
            <w:tcW w:w="2066" w:type="dxa"/>
            <w:hideMark/>
          </w:tcPr>
          <w:p w:rsidR="00F83766" w:rsidRPr="00EF6E2B" w:rsidRDefault="00F83766" w:rsidP="00F83766">
            <w:pPr>
              <w:pStyle w:val="BodyText"/>
              <w:rPr>
                <w:lang w:val="en-US"/>
              </w:rPr>
            </w:pPr>
            <w:r w:rsidRPr="00EF6E2B">
              <w:rPr>
                <w:lang w:val="en-US"/>
              </w:rPr>
              <w:t>0</w:t>
            </w:r>
          </w:p>
        </w:tc>
        <w:tc>
          <w:tcPr>
            <w:tcW w:w="2160" w:type="dxa"/>
            <w:hideMark/>
          </w:tcPr>
          <w:p w:rsidR="00F83766" w:rsidRPr="00EF6E2B" w:rsidRDefault="00F83766" w:rsidP="00F83766">
            <w:pPr>
              <w:pStyle w:val="BodyText"/>
              <w:rPr>
                <w:lang w:val="en-US"/>
              </w:rPr>
            </w:pPr>
            <w:r w:rsidRPr="00EF6E2B">
              <w:rPr>
                <w:lang w:val="en-US"/>
              </w:rPr>
              <w:t>0.5</w:t>
            </w:r>
          </w:p>
        </w:tc>
        <w:tc>
          <w:tcPr>
            <w:tcW w:w="2160" w:type="dxa"/>
            <w:hideMark/>
          </w:tcPr>
          <w:p w:rsidR="00F83766" w:rsidRPr="00EF6E2B" w:rsidRDefault="00F83766" w:rsidP="00F83766">
            <w:pPr>
              <w:pStyle w:val="BodyText"/>
              <w:rPr>
                <w:lang w:val="en-US"/>
              </w:rPr>
            </w:pPr>
            <w:r w:rsidRPr="00EF6E2B">
              <w:rPr>
                <w:lang w:val="en-US"/>
              </w:rPr>
              <w:t>0.5</w:t>
            </w:r>
          </w:p>
        </w:tc>
      </w:tr>
      <w:tr w:rsidR="00EF6E2B" w:rsidRPr="00EF6E2B" w:rsidTr="00F83766">
        <w:trPr>
          <w:trHeight w:hRule="exact" w:val="271"/>
        </w:trPr>
        <w:tc>
          <w:tcPr>
            <w:tcW w:w="1988" w:type="dxa"/>
          </w:tcPr>
          <w:p w:rsidR="00F83766" w:rsidRPr="00EF6E2B" w:rsidRDefault="00F83766" w:rsidP="00F83766">
            <w:pPr>
              <w:pStyle w:val="BodyText"/>
              <w:rPr>
                <w:lang w:val="en-US"/>
              </w:rPr>
            </w:pPr>
            <w:r w:rsidRPr="00EF6E2B">
              <w:rPr>
                <w:lang w:val="en-US"/>
              </w:rPr>
              <w:t>Substrate</w:t>
            </w:r>
          </w:p>
        </w:tc>
        <w:tc>
          <w:tcPr>
            <w:tcW w:w="2421" w:type="dxa"/>
            <w:hideMark/>
          </w:tcPr>
          <w:p w:rsidR="00F83766" w:rsidRPr="00EF6E2B" w:rsidRDefault="00F83766" w:rsidP="00F83766">
            <w:pPr>
              <w:pStyle w:val="BodyText"/>
              <w:rPr>
                <w:lang w:val="en-US"/>
              </w:rPr>
            </w:pPr>
            <w:r w:rsidRPr="00EF6E2B">
              <w:rPr>
                <w:lang w:val="en-US"/>
              </w:rPr>
              <w:t xml:space="preserve">Urea </w:t>
            </w:r>
          </w:p>
        </w:tc>
        <w:tc>
          <w:tcPr>
            <w:tcW w:w="2066" w:type="dxa"/>
            <w:hideMark/>
          </w:tcPr>
          <w:p w:rsidR="00F83766" w:rsidRPr="00EF6E2B" w:rsidRDefault="00F83766" w:rsidP="00F83766">
            <w:pPr>
              <w:pStyle w:val="BodyText"/>
              <w:rPr>
                <w:lang w:val="en-US"/>
              </w:rPr>
            </w:pPr>
            <w:r w:rsidRPr="00EF6E2B">
              <w:rPr>
                <w:lang w:val="en-US"/>
              </w:rPr>
              <w:t>0</w:t>
            </w:r>
          </w:p>
        </w:tc>
        <w:tc>
          <w:tcPr>
            <w:tcW w:w="2160" w:type="dxa"/>
            <w:hideMark/>
          </w:tcPr>
          <w:p w:rsidR="00F83766" w:rsidRPr="00EF6E2B" w:rsidRDefault="00F83766" w:rsidP="00F83766">
            <w:pPr>
              <w:pStyle w:val="BodyText"/>
              <w:rPr>
                <w:lang w:val="en-US"/>
              </w:rPr>
            </w:pPr>
            <w:r w:rsidRPr="00EF6E2B">
              <w:rPr>
                <w:lang w:val="en-US"/>
              </w:rPr>
              <w:t>5</w:t>
            </w:r>
          </w:p>
        </w:tc>
        <w:tc>
          <w:tcPr>
            <w:tcW w:w="2160" w:type="dxa"/>
            <w:hideMark/>
          </w:tcPr>
          <w:p w:rsidR="00F83766" w:rsidRPr="00EF6E2B" w:rsidRDefault="00F83766" w:rsidP="00F83766">
            <w:pPr>
              <w:pStyle w:val="BodyText"/>
              <w:rPr>
                <w:lang w:val="en-US"/>
              </w:rPr>
            </w:pPr>
            <w:r w:rsidRPr="00EF6E2B">
              <w:rPr>
                <w:lang w:val="en-US"/>
              </w:rPr>
              <w:t>5</w:t>
            </w:r>
          </w:p>
        </w:tc>
      </w:tr>
      <w:tr w:rsidR="00EF6E2B" w:rsidRPr="00EF6E2B" w:rsidTr="00F83766">
        <w:trPr>
          <w:trHeight w:hRule="exact" w:val="288"/>
        </w:trPr>
        <w:tc>
          <w:tcPr>
            <w:tcW w:w="1988" w:type="dxa"/>
          </w:tcPr>
          <w:p w:rsidR="00F83766" w:rsidRPr="00EF6E2B" w:rsidRDefault="00F83766" w:rsidP="00F83766">
            <w:pPr>
              <w:pStyle w:val="BodyText"/>
              <w:rPr>
                <w:lang w:val="en-US"/>
              </w:rPr>
            </w:pPr>
            <w:r w:rsidRPr="00EF6E2B">
              <w:rPr>
                <w:lang w:val="en-US"/>
              </w:rPr>
              <w:t>Calcium source</w:t>
            </w:r>
          </w:p>
        </w:tc>
        <w:tc>
          <w:tcPr>
            <w:tcW w:w="2421" w:type="dxa"/>
            <w:hideMark/>
          </w:tcPr>
          <w:p w:rsidR="00F83766" w:rsidRPr="00EF6E2B" w:rsidRDefault="00F83766" w:rsidP="00F83766">
            <w:pPr>
              <w:pStyle w:val="BodyText"/>
              <w:rPr>
                <w:lang w:val="en-US"/>
              </w:rPr>
            </w:pPr>
            <w:r w:rsidRPr="00EF6E2B">
              <w:rPr>
                <w:lang w:val="en-US"/>
              </w:rPr>
              <w:t>Calcium hydroxide</w:t>
            </w:r>
          </w:p>
        </w:tc>
        <w:tc>
          <w:tcPr>
            <w:tcW w:w="2066" w:type="dxa"/>
            <w:hideMark/>
          </w:tcPr>
          <w:p w:rsidR="00F83766" w:rsidRPr="00EF6E2B" w:rsidRDefault="00F83766" w:rsidP="00F83766">
            <w:pPr>
              <w:pStyle w:val="BodyText"/>
              <w:rPr>
                <w:lang w:val="en-US"/>
              </w:rPr>
            </w:pPr>
            <w:r w:rsidRPr="00EF6E2B">
              <w:rPr>
                <w:lang w:val="en-US"/>
              </w:rPr>
              <w:t>0</w:t>
            </w:r>
          </w:p>
        </w:tc>
        <w:tc>
          <w:tcPr>
            <w:tcW w:w="2160" w:type="dxa"/>
            <w:hideMark/>
          </w:tcPr>
          <w:p w:rsidR="00F83766" w:rsidRPr="00EF6E2B" w:rsidRDefault="00F83766" w:rsidP="00F83766">
            <w:pPr>
              <w:pStyle w:val="BodyText"/>
              <w:rPr>
                <w:lang w:val="en-US"/>
              </w:rPr>
            </w:pPr>
            <w:r w:rsidRPr="00EF6E2B">
              <w:rPr>
                <w:lang w:val="en-US"/>
              </w:rPr>
              <w:t>5.5</w:t>
            </w:r>
          </w:p>
        </w:tc>
        <w:tc>
          <w:tcPr>
            <w:tcW w:w="2160" w:type="dxa"/>
            <w:hideMark/>
          </w:tcPr>
          <w:p w:rsidR="00F83766" w:rsidRPr="00EF6E2B" w:rsidRDefault="00F83766" w:rsidP="00F83766">
            <w:pPr>
              <w:pStyle w:val="BodyText"/>
              <w:rPr>
                <w:lang w:val="en-US"/>
              </w:rPr>
            </w:pPr>
            <w:r w:rsidRPr="00EF6E2B">
              <w:rPr>
                <w:lang w:val="en-US"/>
              </w:rPr>
              <w:t>5.5</w:t>
            </w:r>
          </w:p>
        </w:tc>
      </w:tr>
    </w:tbl>
    <w:p w:rsidR="00F83766" w:rsidRPr="00EF6E2B" w:rsidRDefault="00F83766" w:rsidP="003A3DA9">
      <w:pPr>
        <w:pStyle w:val="BodyText"/>
      </w:pPr>
    </w:p>
    <w:p w:rsidR="003A3DA9" w:rsidRPr="00EF6E2B" w:rsidRDefault="003A3DA9" w:rsidP="00F83766">
      <w:pPr>
        <w:pStyle w:val="BodyText"/>
        <w:ind w:firstLine="0"/>
      </w:pPr>
      <w:r w:rsidRPr="00EF6E2B">
        <w:t xml:space="preserve">All </w:t>
      </w:r>
      <w:r w:rsidR="00F83766" w:rsidRPr="00EF6E2B">
        <w:t>the ingredients shown in Table 1</w:t>
      </w:r>
      <w:r w:rsidRPr="00EF6E2B">
        <w:t xml:space="preserve"> were added in water. The prepared solution was then kept in incubator at 37</w:t>
      </w:r>
      <w:r w:rsidRPr="00EF6E2B">
        <w:rPr>
          <w:vertAlign w:val="superscript"/>
        </w:rPr>
        <w:t>o</w:t>
      </w:r>
      <w:r w:rsidRPr="00EF6E2B">
        <w:t xml:space="preserve"> C for 24 hours. The supernatant of the bacterial solution was then separated from the soil and addition of urea as a substrate and calcium hydroxide as calcium source was done to it. 5 g/l of urea and 5.5 gm of calcium hydroxide were added. The proportion of urea and calcium hydroxide was decided according to stoichiometry of the reaction involved.</w:t>
      </w:r>
      <w:r w:rsidR="00F83766" w:rsidRPr="00EF6E2B">
        <w:t xml:space="preserve"> Control 1 solution was prepared in similar manner without adding soil. These solutions were used to prepare specimens of standard sizes for testing.</w:t>
      </w:r>
    </w:p>
    <w:p w:rsidR="00F83766" w:rsidRPr="00EF6E2B" w:rsidRDefault="00F83766" w:rsidP="00F83766">
      <w:pPr>
        <w:pStyle w:val="Heading1"/>
      </w:pPr>
      <w:r w:rsidRPr="00EF6E2B">
        <w:t>Results and Concluding Remarks</w:t>
      </w:r>
    </w:p>
    <w:p w:rsidR="00CE0D3D" w:rsidRPr="00EF6E2B" w:rsidRDefault="003E7AD2" w:rsidP="008D09F1">
      <w:pPr>
        <w:pStyle w:val="BodyText"/>
        <w:ind w:firstLine="0"/>
        <w:rPr>
          <w:iCs/>
        </w:rPr>
      </w:pPr>
      <w:r w:rsidRPr="00EF6E2B">
        <w:t>C</w:t>
      </w:r>
      <w:r w:rsidR="00F83766" w:rsidRPr="00EF6E2B">
        <w:t xml:space="preserve">ompressive strength test, Water absorption test, </w:t>
      </w:r>
      <w:r w:rsidRPr="00EF6E2B">
        <w:t xml:space="preserve">Ultrasonic pulse velocity </w:t>
      </w:r>
      <w:r w:rsidR="00EF6E2B" w:rsidRPr="00EF6E2B">
        <w:t>test, Rapid</w:t>
      </w:r>
      <w:r w:rsidR="00F83766" w:rsidRPr="00EF6E2B">
        <w:t xml:space="preserve"> chloride permeability test, Split tensile strength test, flexural strength test, Scanning electron microscopy, </w:t>
      </w:r>
      <w:r w:rsidR="00F83766" w:rsidRPr="00EF6E2B">
        <w:rPr>
          <w:iCs/>
        </w:rPr>
        <w:t xml:space="preserve">Energy dispersive X-ray analysis, X- Ray diffraction analysis, carbonation test and estimation of soluble chlorides and </w:t>
      </w:r>
      <w:r w:rsidR="00F83766" w:rsidRPr="00EF6E2B">
        <w:rPr>
          <w:rFonts w:asciiTheme="minorHAnsi" w:hAnsiTheme="minorHAnsi" w:cstheme="minorHAnsi"/>
          <w:iCs/>
        </w:rPr>
        <w:t>sulphates</w:t>
      </w:r>
      <w:r w:rsidR="002F4BFC" w:rsidRPr="00EF6E2B">
        <w:rPr>
          <w:rFonts w:asciiTheme="minorHAnsi" w:hAnsiTheme="minorHAnsi" w:cstheme="minorHAnsi"/>
          <w:iCs/>
        </w:rPr>
        <w:t xml:space="preserve"> concentrations</w:t>
      </w:r>
      <w:r w:rsidR="00F83766" w:rsidRPr="00EF6E2B">
        <w:rPr>
          <w:rFonts w:asciiTheme="minorHAnsi" w:hAnsiTheme="minorHAnsi" w:cstheme="minorHAnsi"/>
          <w:iCs/>
        </w:rPr>
        <w:t xml:space="preserve"> were</w:t>
      </w:r>
      <w:r w:rsidR="002F4BFC" w:rsidRPr="00EF6E2B">
        <w:rPr>
          <w:rFonts w:asciiTheme="minorHAnsi" w:hAnsiTheme="minorHAnsi" w:cstheme="minorHAnsi"/>
          <w:iCs/>
        </w:rPr>
        <w:t xml:space="preserve"> carried out as per respective standards. </w:t>
      </w:r>
      <w:r w:rsidR="00E401C2" w:rsidRPr="00EF6E2B">
        <w:rPr>
          <w:rFonts w:asciiTheme="minorHAnsi" w:hAnsiTheme="minorHAnsi" w:cstheme="minorHAnsi"/>
          <w:iCs/>
        </w:rPr>
        <w:t xml:space="preserve">Results showed around </w:t>
      </w:r>
      <w:r w:rsidR="00E401C2" w:rsidRPr="00EF6E2B">
        <w:rPr>
          <w:rFonts w:asciiTheme="minorHAnsi" w:hAnsiTheme="minorHAnsi" w:cstheme="minorHAnsi"/>
        </w:rPr>
        <w:t xml:space="preserve">7%, </w:t>
      </w:r>
      <w:r w:rsidR="008663AD" w:rsidRPr="00EF6E2B">
        <w:rPr>
          <w:rFonts w:asciiTheme="minorHAnsi" w:hAnsiTheme="minorHAnsi" w:cstheme="minorHAnsi"/>
        </w:rPr>
        <w:t>11%, 13%, 15% &amp;</w:t>
      </w:r>
      <w:r w:rsidR="00E401C2" w:rsidRPr="00EF6E2B">
        <w:rPr>
          <w:rFonts w:asciiTheme="minorHAnsi" w:hAnsiTheme="minorHAnsi" w:cstheme="minorHAnsi"/>
        </w:rPr>
        <w:t xml:space="preserve"> 16% increment in compressive strength and </w:t>
      </w:r>
      <w:r w:rsidR="008663AD" w:rsidRPr="00EF6E2B">
        <w:rPr>
          <w:rFonts w:asciiTheme="minorHAnsi" w:hAnsiTheme="minorHAnsi" w:cstheme="minorHAnsi"/>
        </w:rPr>
        <w:t>7%, 9%, 10%, 14% &amp;</w:t>
      </w:r>
      <w:r w:rsidR="00E401C2" w:rsidRPr="00EF6E2B">
        <w:rPr>
          <w:rFonts w:asciiTheme="minorHAnsi" w:hAnsiTheme="minorHAnsi" w:cstheme="minorHAnsi"/>
        </w:rPr>
        <w:t xml:space="preserve"> 15% reduction in percent water absorption </w:t>
      </w:r>
      <w:r w:rsidR="00FE7C20" w:rsidRPr="00EF6E2B">
        <w:rPr>
          <w:rFonts w:asciiTheme="minorHAnsi" w:hAnsiTheme="minorHAnsi" w:cstheme="minorHAnsi"/>
        </w:rPr>
        <w:t>of bacterial specimens</w:t>
      </w:r>
      <w:r w:rsidR="00305940" w:rsidRPr="00EF6E2B">
        <w:rPr>
          <w:rFonts w:asciiTheme="minorHAnsi" w:hAnsiTheme="minorHAnsi" w:cstheme="minorHAnsi"/>
        </w:rPr>
        <w:t xml:space="preserve"> as compared to</w:t>
      </w:r>
      <w:r w:rsidR="00FE7C20" w:rsidRPr="00EF6E2B">
        <w:rPr>
          <w:rFonts w:asciiTheme="minorHAnsi" w:hAnsiTheme="minorHAnsi" w:cstheme="minorHAnsi"/>
        </w:rPr>
        <w:t xml:space="preserve"> control specimens; </w:t>
      </w:r>
      <w:r w:rsidR="008663AD" w:rsidRPr="00EF6E2B">
        <w:rPr>
          <w:rFonts w:asciiTheme="minorHAnsi" w:hAnsiTheme="minorHAnsi" w:cstheme="minorHAnsi"/>
        </w:rPr>
        <w:t>for 3, 7, 14, 28 &amp;</w:t>
      </w:r>
      <w:r w:rsidR="00E401C2" w:rsidRPr="00EF6E2B">
        <w:rPr>
          <w:rFonts w:asciiTheme="minorHAnsi" w:hAnsiTheme="minorHAnsi" w:cstheme="minorHAnsi"/>
        </w:rPr>
        <w:t xml:space="preserve"> 90 </w:t>
      </w:r>
      <w:r w:rsidR="00FE7C20" w:rsidRPr="00EF6E2B">
        <w:rPr>
          <w:rFonts w:asciiTheme="minorHAnsi" w:hAnsiTheme="minorHAnsi" w:cstheme="minorHAnsi"/>
        </w:rPr>
        <w:t xml:space="preserve">days of curing </w:t>
      </w:r>
      <w:r w:rsidR="00E401C2" w:rsidRPr="00EF6E2B">
        <w:rPr>
          <w:rFonts w:asciiTheme="minorHAnsi" w:hAnsiTheme="minorHAnsi" w:cstheme="minorHAnsi"/>
        </w:rPr>
        <w:t>respectively</w:t>
      </w:r>
      <w:r w:rsidR="00FE7C20" w:rsidRPr="00EF6E2B">
        <w:rPr>
          <w:rFonts w:asciiTheme="minorHAnsi" w:hAnsiTheme="minorHAnsi" w:cstheme="minorHAnsi"/>
        </w:rPr>
        <w:t xml:space="preserve">. </w:t>
      </w:r>
      <w:r w:rsidR="00E401C2" w:rsidRPr="00EF6E2B">
        <w:rPr>
          <w:rFonts w:asciiTheme="minorHAnsi" w:hAnsiTheme="minorHAnsi" w:cstheme="minorHAnsi"/>
        </w:rPr>
        <w:t xml:space="preserve"> Average split tensile increment</w:t>
      </w:r>
      <w:r w:rsidR="00BE09C3" w:rsidRPr="00EF6E2B">
        <w:rPr>
          <w:rFonts w:asciiTheme="minorHAnsi" w:hAnsiTheme="minorHAnsi" w:cstheme="minorHAnsi"/>
        </w:rPr>
        <w:t xml:space="preserve"> values</w:t>
      </w:r>
      <w:r w:rsidR="008663AD" w:rsidRPr="00EF6E2B">
        <w:rPr>
          <w:rFonts w:asciiTheme="minorHAnsi" w:hAnsiTheme="minorHAnsi" w:cstheme="minorHAnsi"/>
        </w:rPr>
        <w:t xml:space="preserve"> in bacterial specimens</w:t>
      </w:r>
      <w:r w:rsidR="00E401C2" w:rsidRPr="00EF6E2B">
        <w:rPr>
          <w:rFonts w:asciiTheme="minorHAnsi" w:hAnsiTheme="minorHAnsi" w:cstheme="minorHAnsi"/>
        </w:rPr>
        <w:t xml:space="preserve"> were 8.33%</w:t>
      </w:r>
      <w:r w:rsidR="00BE09C3" w:rsidRPr="00EF6E2B">
        <w:rPr>
          <w:rFonts w:asciiTheme="minorHAnsi" w:hAnsiTheme="minorHAnsi" w:cstheme="minorHAnsi"/>
        </w:rPr>
        <w:t xml:space="preserve"> &amp;</w:t>
      </w:r>
      <w:r w:rsidR="00B56948" w:rsidRPr="00EF6E2B">
        <w:rPr>
          <w:rFonts w:asciiTheme="minorHAnsi" w:hAnsiTheme="minorHAnsi" w:cstheme="minorHAnsi"/>
        </w:rPr>
        <w:t xml:space="preserve"> 9.09% and </w:t>
      </w:r>
      <w:r w:rsidR="00BE09C3" w:rsidRPr="00EF6E2B">
        <w:rPr>
          <w:rFonts w:asciiTheme="minorHAnsi" w:hAnsiTheme="minorHAnsi" w:cstheme="minorHAnsi"/>
        </w:rPr>
        <w:t>that of</w:t>
      </w:r>
      <w:r w:rsidR="00E401C2" w:rsidRPr="00EF6E2B">
        <w:rPr>
          <w:rFonts w:asciiTheme="minorHAnsi" w:hAnsiTheme="minorHAnsi" w:cstheme="minorHAnsi"/>
        </w:rPr>
        <w:t xml:space="preserve"> flexural </w:t>
      </w:r>
      <w:r w:rsidR="00EF6E2B" w:rsidRPr="00EF6E2B">
        <w:rPr>
          <w:rFonts w:asciiTheme="minorHAnsi" w:hAnsiTheme="minorHAnsi" w:cstheme="minorHAnsi"/>
        </w:rPr>
        <w:t>strengths were</w:t>
      </w:r>
      <w:r w:rsidR="00E401C2" w:rsidRPr="00EF6E2B">
        <w:rPr>
          <w:rFonts w:asciiTheme="minorHAnsi" w:hAnsiTheme="minorHAnsi" w:cstheme="minorHAnsi"/>
        </w:rPr>
        <w:t xml:space="preserve"> </w:t>
      </w:r>
      <w:r w:rsidR="00E401C2" w:rsidRPr="00EF6E2B">
        <w:t>7.07</w:t>
      </w:r>
      <w:r w:rsidR="00BE09C3" w:rsidRPr="00EF6E2B">
        <w:t>% &amp;</w:t>
      </w:r>
      <w:r w:rsidR="00E401C2" w:rsidRPr="00EF6E2B">
        <w:t xml:space="preserve"> 7.82% respectively for 28 and 90 days.</w:t>
      </w:r>
      <w:r w:rsidR="00F262B4" w:rsidRPr="00EF6E2B">
        <w:t xml:space="preserve"> SEM, EDX and XRD analyses showed presence of CaCO</w:t>
      </w:r>
      <w:r w:rsidR="00F262B4" w:rsidRPr="00EF6E2B">
        <w:rPr>
          <w:vertAlign w:val="subscript"/>
        </w:rPr>
        <w:t>3</w:t>
      </w:r>
      <w:r w:rsidR="00F262B4" w:rsidRPr="00EF6E2B">
        <w:t xml:space="preserve"> precipitations in bacterial specimens. Bacterial fly ash concrete was proved to be durable by qualifying all durability tests like UPV, RCPT, carbonation and chloride and sulphate </w:t>
      </w:r>
      <w:r w:rsidR="00EF6E2B" w:rsidRPr="00EF6E2B">
        <w:t>concentrations. Bacterially</w:t>
      </w:r>
      <w:r w:rsidR="00E90489" w:rsidRPr="00EF6E2B">
        <w:t xml:space="preserve"> induced CaCO</w:t>
      </w:r>
      <w:r w:rsidR="00E90489" w:rsidRPr="00EF6E2B">
        <w:rPr>
          <w:vertAlign w:val="subscript"/>
        </w:rPr>
        <w:t>3</w:t>
      </w:r>
      <w:r w:rsidR="00E90489" w:rsidRPr="00EF6E2B">
        <w:t xml:space="preserve"> precipitations </w:t>
      </w:r>
      <w:r w:rsidR="00CE0D3D" w:rsidRPr="00EF6E2B">
        <w:t>caused overall improvement of fly ash concrete.</w:t>
      </w:r>
    </w:p>
    <w:p w:rsidR="00CE2F8D" w:rsidRPr="00EF6E2B" w:rsidRDefault="00CE0D3D" w:rsidP="00CE2F8D">
      <w:pPr>
        <w:widowControl w:val="0"/>
        <w:autoSpaceDE w:val="0"/>
        <w:autoSpaceDN w:val="0"/>
        <w:adjustRightInd w:val="0"/>
        <w:rPr>
          <w:b/>
          <w:sz w:val="24"/>
        </w:rPr>
      </w:pPr>
      <w:r w:rsidRPr="00EF6E2B">
        <w:rPr>
          <w:b/>
          <w:sz w:val="24"/>
        </w:rPr>
        <w:t>References</w:t>
      </w:r>
    </w:p>
    <w:p w:rsidR="00AB6D36" w:rsidRPr="00EF6E2B" w:rsidRDefault="00D14200" w:rsidP="00AB6D36">
      <w:pPr>
        <w:widowControl w:val="0"/>
        <w:autoSpaceDE w:val="0"/>
        <w:autoSpaceDN w:val="0"/>
        <w:adjustRightInd w:val="0"/>
        <w:rPr>
          <w:rFonts w:cs="Calibri"/>
          <w:noProof/>
          <w:sz w:val="12"/>
          <w:szCs w:val="24"/>
        </w:rPr>
      </w:pPr>
      <w:r w:rsidRPr="00EF6E2B">
        <w:rPr>
          <w:sz w:val="12"/>
        </w:rPr>
        <w:t>IS</w:t>
      </w:r>
      <w:r w:rsidR="005D7B20" w:rsidRPr="00EF6E2B">
        <w:rPr>
          <w:b/>
          <w:sz w:val="12"/>
        </w:rPr>
        <w:fldChar w:fldCharType="begin" w:fldLock="1"/>
      </w:r>
      <w:r w:rsidR="00AB6D36" w:rsidRPr="00EF6E2B">
        <w:rPr>
          <w:b/>
          <w:sz w:val="12"/>
        </w:rPr>
        <w:instrText xml:space="preserve">ADDIN Mendeley Bibliography CSL_BIBLIOGRAPHY </w:instrText>
      </w:r>
      <w:r w:rsidR="005D7B20" w:rsidRPr="00EF6E2B">
        <w:rPr>
          <w:b/>
          <w:sz w:val="12"/>
        </w:rPr>
        <w:fldChar w:fldCharType="separate"/>
      </w:r>
      <w:r w:rsidRPr="00EF6E2B">
        <w:rPr>
          <w:rFonts w:cs="Calibri"/>
          <w:noProof/>
          <w:sz w:val="12"/>
          <w:szCs w:val="24"/>
        </w:rPr>
        <w:t xml:space="preserve">383:1970, </w:t>
      </w:r>
      <w:r w:rsidR="00AB6D36" w:rsidRPr="00EF6E2B">
        <w:rPr>
          <w:rFonts w:cs="Calibri"/>
          <w:noProof/>
          <w:sz w:val="12"/>
          <w:szCs w:val="24"/>
        </w:rPr>
        <w:t xml:space="preserve"> (1970) ‘Specification for Coarse and Fine Aggregate From Natural Sources for Concrete’, </w:t>
      </w:r>
      <w:r w:rsidR="00AB6D36" w:rsidRPr="00EF6E2B">
        <w:rPr>
          <w:rFonts w:cs="Calibri"/>
          <w:i/>
          <w:iCs/>
          <w:noProof/>
          <w:sz w:val="12"/>
          <w:szCs w:val="24"/>
        </w:rPr>
        <w:t>IS 383(Second rev.)</w:t>
      </w:r>
      <w:r w:rsidR="00AB6D36" w:rsidRPr="00EF6E2B">
        <w:rPr>
          <w:rFonts w:cs="Calibri"/>
          <w:noProof/>
          <w:sz w:val="12"/>
          <w:szCs w:val="24"/>
        </w:rPr>
        <w:t>, p. New Delhi,India.</w:t>
      </w:r>
    </w:p>
    <w:p w:rsidR="00AB6D36" w:rsidRPr="00EF6E2B" w:rsidRDefault="00AB6D36" w:rsidP="00AB6D36">
      <w:pPr>
        <w:widowControl w:val="0"/>
        <w:autoSpaceDE w:val="0"/>
        <w:autoSpaceDN w:val="0"/>
        <w:adjustRightInd w:val="0"/>
        <w:rPr>
          <w:rFonts w:cs="Calibri"/>
          <w:noProof/>
          <w:sz w:val="12"/>
          <w:szCs w:val="24"/>
        </w:rPr>
      </w:pPr>
      <w:r w:rsidRPr="00EF6E2B">
        <w:rPr>
          <w:rFonts w:cs="Calibri"/>
          <w:noProof/>
          <w:sz w:val="12"/>
          <w:szCs w:val="24"/>
        </w:rPr>
        <w:t xml:space="preserve">Achal, V., Pan, X. and Özyurt, N. (2011) ‘Improved strength and durability of fly ash-amended concrete by microbial calcite precipitation’, </w:t>
      </w:r>
      <w:r w:rsidRPr="00EF6E2B">
        <w:rPr>
          <w:rFonts w:cs="Calibri"/>
          <w:i/>
          <w:iCs/>
          <w:noProof/>
          <w:sz w:val="12"/>
          <w:szCs w:val="24"/>
        </w:rPr>
        <w:t>Ecological Engineering</w:t>
      </w:r>
      <w:r w:rsidRPr="00EF6E2B">
        <w:rPr>
          <w:rFonts w:cs="Calibri"/>
          <w:noProof/>
          <w:sz w:val="12"/>
          <w:szCs w:val="24"/>
        </w:rPr>
        <w:t>. Elsevier B.V., 37(4), pp. 554–559. doi: 10.1016/j.ecoleng.2010.11.009.</w:t>
      </w:r>
    </w:p>
    <w:p w:rsidR="00AB6D36" w:rsidRPr="00EF6E2B" w:rsidRDefault="00AB6D36" w:rsidP="00AB6D36">
      <w:pPr>
        <w:widowControl w:val="0"/>
        <w:autoSpaceDE w:val="0"/>
        <w:autoSpaceDN w:val="0"/>
        <w:adjustRightInd w:val="0"/>
        <w:rPr>
          <w:rFonts w:cs="Calibri"/>
          <w:noProof/>
          <w:sz w:val="6"/>
          <w:szCs w:val="24"/>
        </w:rPr>
      </w:pPr>
      <w:r w:rsidRPr="00EF6E2B">
        <w:rPr>
          <w:rFonts w:cs="Calibri"/>
          <w:noProof/>
          <w:sz w:val="12"/>
          <w:szCs w:val="24"/>
        </w:rPr>
        <w:t>ASTMC618-03 (2002) ‘Standard Specification for Coal Fly Ash and Raw or Calcined Natural Pozzolan for Use’, pp. 1–3.</w:t>
      </w:r>
    </w:p>
    <w:p w:rsidR="00AB6D36" w:rsidRPr="00EF6E2B" w:rsidRDefault="00AB6D36" w:rsidP="00AB6D36">
      <w:pPr>
        <w:widowControl w:val="0"/>
        <w:autoSpaceDE w:val="0"/>
        <w:autoSpaceDN w:val="0"/>
        <w:adjustRightInd w:val="0"/>
        <w:rPr>
          <w:rFonts w:cs="Calibri"/>
          <w:noProof/>
          <w:sz w:val="12"/>
          <w:szCs w:val="24"/>
        </w:rPr>
      </w:pPr>
      <w:r w:rsidRPr="00EF6E2B">
        <w:rPr>
          <w:rFonts w:cs="Calibri"/>
          <w:noProof/>
          <w:sz w:val="12"/>
          <w:szCs w:val="24"/>
        </w:rPr>
        <w:t xml:space="preserve">Berryman, C. </w:t>
      </w:r>
      <w:r w:rsidRPr="00EF6E2B">
        <w:rPr>
          <w:rFonts w:cs="Calibri"/>
          <w:i/>
          <w:iCs/>
          <w:noProof/>
          <w:sz w:val="12"/>
          <w:szCs w:val="24"/>
        </w:rPr>
        <w:t>et al.</w:t>
      </w:r>
      <w:r w:rsidRPr="00EF6E2B">
        <w:rPr>
          <w:rFonts w:cs="Calibri"/>
          <w:noProof/>
          <w:sz w:val="12"/>
          <w:szCs w:val="24"/>
        </w:rPr>
        <w:t xml:space="preserve"> (2005) ‘High-percentage replacement of cement with fly ash for reinforced concrete pipe’, 35, pp. 1088–1091. doi: 10.1016/j.cemconres.2004.06.040.</w:t>
      </w:r>
    </w:p>
    <w:p w:rsidR="00AB6D36" w:rsidRPr="00EF6E2B" w:rsidRDefault="00AB6D36" w:rsidP="00AB6D36">
      <w:pPr>
        <w:widowControl w:val="0"/>
        <w:autoSpaceDE w:val="0"/>
        <w:autoSpaceDN w:val="0"/>
        <w:adjustRightInd w:val="0"/>
        <w:rPr>
          <w:rFonts w:cs="Calibri"/>
          <w:noProof/>
          <w:sz w:val="12"/>
          <w:szCs w:val="24"/>
        </w:rPr>
      </w:pPr>
      <w:r w:rsidRPr="00EF6E2B">
        <w:rPr>
          <w:rFonts w:cs="Calibri"/>
          <w:noProof/>
          <w:sz w:val="12"/>
          <w:szCs w:val="24"/>
        </w:rPr>
        <w:t xml:space="preserve">Fraay A.L.A., J.M. Bijen J.M., Y. M. de H. Y. M. (1989) ‘The Reaction of Fly Ash in Concrete. A erltieal Examination’, </w:t>
      </w:r>
      <w:r w:rsidRPr="00EF6E2B">
        <w:rPr>
          <w:rFonts w:cs="Calibri"/>
          <w:i/>
          <w:iCs/>
          <w:noProof/>
          <w:sz w:val="12"/>
          <w:szCs w:val="24"/>
        </w:rPr>
        <w:t>CEMENT and CONCRETE RESEARCH.</w:t>
      </w:r>
      <w:r w:rsidRPr="00EF6E2B">
        <w:rPr>
          <w:rFonts w:cs="Calibri"/>
          <w:noProof/>
          <w:sz w:val="12"/>
          <w:szCs w:val="24"/>
        </w:rPr>
        <w:t>, 19(c), pp. 235–246.</w:t>
      </w:r>
    </w:p>
    <w:p w:rsidR="00AB6D36" w:rsidRPr="00EF6E2B" w:rsidRDefault="00AB6D36" w:rsidP="00AB6D36">
      <w:pPr>
        <w:widowControl w:val="0"/>
        <w:autoSpaceDE w:val="0"/>
        <w:autoSpaceDN w:val="0"/>
        <w:adjustRightInd w:val="0"/>
        <w:rPr>
          <w:rFonts w:cs="Calibri"/>
          <w:noProof/>
          <w:sz w:val="12"/>
          <w:szCs w:val="24"/>
        </w:rPr>
      </w:pPr>
      <w:r w:rsidRPr="00EF6E2B">
        <w:rPr>
          <w:rFonts w:cs="Calibri"/>
          <w:noProof/>
          <w:sz w:val="12"/>
          <w:szCs w:val="24"/>
        </w:rPr>
        <w:t>IS10262:2009 (2009) ‘Concrete mix proportioning - Guidelines (First Revision)’. doi: 10.1002/ajpa.22079.</w:t>
      </w:r>
    </w:p>
    <w:p w:rsidR="00AB6D36" w:rsidRPr="00EF6E2B" w:rsidRDefault="00AB6D36" w:rsidP="00AB6D36">
      <w:pPr>
        <w:widowControl w:val="0"/>
        <w:autoSpaceDE w:val="0"/>
        <w:autoSpaceDN w:val="0"/>
        <w:adjustRightInd w:val="0"/>
        <w:rPr>
          <w:rFonts w:cs="Calibri"/>
          <w:noProof/>
          <w:sz w:val="12"/>
          <w:szCs w:val="24"/>
        </w:rPr>
      </w:pPr>
      <w:r w:rsidRPr="00EF6E2B">
        <w:rPr>
          <w:rFonts w:cs="Calibri"/>
          <w:noProof/>
          <w:sz w:val="12"/>
          <w:szCs w:val="24"/>
        </w:rPr>
        <w:t>IS456:2000 (2000) ‘Bureau of Indian Standard (BIS). Plain and reinforced concrete- code of practice: IS 456’, (July).</w:t>
      </w:r>
    </w:p>
    <w:p w:rsidR="00AB6D36" w:rsidRPr="00EF6E2B" w:rsidRDefault="00AB6D36" w:rsidP="00AB6D36">
      <w:pPr>
        <w:widowControl w:val="0"/>
        <w:autoSpaceDE w:val="0"/>
        <w:autoSpaceDN w:val="0"/>
        <w:adjustRightInd w:val="0"/>
        <w:rPr>
          <w:rFonts w:cs="Calibri"/>
          <w:noProof/>
          <w:sz w:val="12"/>
          <w:szCs w:val="24"/>
        </w:rPr>
      </w:pPr>
      <w:r w:rsidRPr="00EF6E2B">
        <w:rPr>
          <w:rFonts w:cs="Calibri"/>
          <w:noProof/>
          <w:sz w:val="12"/>
          <w:szCs w:val="24"/>
        </w:rPr>
        <w:t xml:space="preserve">Mishra, S. and Siddiqui, N. A. (2014) ‘A Review On Environmental and Health Impacts Of Cement Manufacturing Emissions’, </w:t>
      </w:r>
      <w:r w:rsidRPr="00EF6E2B">
        <w:rPr>
          <w:rFonts w:cs="Calibri"/>
          <w:i/>
          <w:iCs/>
          <w:noProof/>
          <w:sz w:val="12"/>
          <w:szCs w:val="24"/>
        </w:rPr>
        <w:t>International Journal of Geology, Agriculture and Environmental Sciences</w:t>
      </w:r>
      <w:r w:rsidRPr="00EF6E2B">
        <w:rPr>
          <w:rFonts w:cs="Calibri"/>
          <w:noProof/>
          <w:sz w:val="12"/>
          <w:szCs w:val="24"/>
        </w:rPr>
        <w:t>, Volume – 2(Issue – 3 June 2014), pp. 26–31.</w:t>
      </w:r>
    </w:p>
    <w:p w:rsidR="00AB6D36" w:rsidRPr="00EF6E2B" w:rsidRDefault="00AB6D36" w:rsidP="00AB6D36">
      <w:pPr>
        <w:widowControl w:val="0"/>
        <w:autoSpaceDE w:val="0"/>
        <w:autoSpaceDN w:val="0"/>
        <w:adjustRightInd w:val="0"/>
        <w:rPr>
          <w:rFonts w:cs="Calibri"/>
          <w:noProof/>
          <w:sz w:val="12"/>
          <w:szCs w:val="24"/>
        </w:rPr>
      </w:pPr>
      <w:r w:rsidRPr="00EF6E2B">
        <w:rPr>
          <w:rFonts w:cs="Calibri"/>
          <w:noProof/>
          <w:sz w:val="12"/>
          <w:szCs w:val="24"/>
        </w:rPr>
        <w:t xml:space="preserve">Pei, R. </w:t>
      </w:r>
      <w:r w:rsidRPr="00EF6E2B">
        <w:rPr>
          <w:rFonts w:cs="Calibri"/>
          <w:i/>
          <w:iCs/>
          <w:noProof/>
          <w:sz w:val="12"/>
          <w:szCs w:val="24"/>
        </w:rPr>
        <w:t>et al.</w:t>
      </w:r>
      <w:r w:rsidRPr="00EF6E2B">
        <w:rPr>
          <w:rFonts w:cs="Calibri"/>
          <w:noProof/>
          <w:sz w:val="12"/>
          <w:szCs w:val="24"/>
        </w:rPr>
        <w:t xml:space="preserve"> (2013) ‘Use of bacterial cell walls to improve the mechanical performance of concrete’, </w:t>
      </w:r>
      <w:r w:rsidRPr="00EF6E2B">
        <w:rPr>
          <w:rFonts w:cs="Calibri"/>
          <w:i/>
          <w:iCs/>
          <w:noProof/>
          <w:sz w:val="12"/>
          <w:szCs w:val="24"/>
        </w:rPr>
        <w:t>Cement and Concrete Composites</w:t>
      </w:r>
      <w:r w:rsidRPr="00EF6E2B">
        <w:rPr>
          <w:rFonts w:cs="Calibri"/>
          <w:noProof/>
          <w:sz w:val="12"/>
          <w:szCs w:val="24"/>
        </w:rPr>
        <w:t>. Elsevier Ltd, 39, pp. 122–130. doi: 10.1016/j.cemconcomp.2013.03.024.</w:t>
      </w:r>
    </w:p>
    <w:p w:rsidR="00AB6D36" w:rsidRPr="00EF6E2B" w:rsidRDefault="00AB6D36" w:rsidP="00AB6D36">
      <w:pPr>
        <w:widowControl w:val="0"/>
        <w:autoSpaceDE w:val="0"/>
        <w:autoSpaceDN w:val="0"/>
        <w:adjustRightInd w:val="0"/>
        <w:rPr>
          <w:rFonts w:cs="Calibri"/>
          <w:noProof/>
          <w:sz w:val="12"/>
          <w:szCs w:val="24"/>
        </w:rPr>
      </w:pPr>
      <w:r w:rsidRPr="00EF6E2B">
        <w:rPr>
          <w:rFonts w:cs="Calibri"/>
          <w:noProof/>
          <w:sz w:val="12"/>
          <w:szCs w:val="24"/>
        </w:rPr>
        <w:t xml:space="preserve">Tarczewski, R. (2015) ‘Formation of Sustainable Infrastructure Using Microbial Methods and Humanization of Man-made Environment’, </w:t>
      </w:r>
      <w:r w:rsidRPr="00EF6E2B">
        <w:rPr>
          <w:rFonts w:cs="Calibri"/>
          <w:i/>
          <w:iCs/>
          <w:noProof/>
          <w:sz w:val="12"/>
          <w:szCs w:val="24"/>
        </w:rPr>
        <w:t>Procedia Manufacturing</w:t>
      </w:r>
      <w:r w:rsidRPr="00EF6E2B">
        <w:rPr>
          <w:rFonts w:cs="Calibri"/>
          <w:noProof/>
          <w:sz w:val="12"/>
          <w:szCs w:val="24"/>
        </w:rPr>
        <w:t>. Elsevier B.V., 3(Ahfe), pp. 1704–1711. doi: 10.1016/j.promfg.2015.07.991.</w:t>
      </w:r>
    </w:p>
    <w:p w:rsidR="00AB6D36" w:rsidRPr="00EF6E2B" w:rsidRDefault="00AB6D36" w:rsidP="00CE2F8D">
      <w:pPr>
        <w:widowControl w:val="0"/>
        <w:autoSpaceDE w:val="0"/>
        <w:autoSpaceDN w:val="0"/>
        <w:adjustRightInd w:val="0"/>
        <w:rPr>
          <w:b/>
          <w:sz w:val="24"/>
        </w:rPr>
      </w:pPr>
      <w:r w:rsidRPr="00EF6E2B">
        <w:rPr>
          <w:rFonts w:cs="Calibri"/>
          <w:noProof/>
          <w:sz w:val="12"/>
          <w:szCs w:val="24"/>
        </w:rPr>
        <w:t xml:space="preserve">Whiffin, V. S. (2004) ‘Microbial CaCO3 Precipitation for the Production of Biocement’, </w:t>
      </w:r>
      <w:r w:rsidRPr="00EF6E2B">
        <w:rPr>
          <w:rFonts w:cs="Calibri"/>
          <w:i/>
          <w:iCs/>
          <w:noProof/>
          <w:sz w:val="12"/>
          <w:szCs w:val="24"/>
        </w:rPr>
        <w:t>Phd Thesis</w:t>
      </w:r>
      <w:r w:rsidRPr="00EF6E2B">
        <w:rPr>
          <w:rFonts w:cs="Calibri"/>
          <w:noProof/>
          <w:sz w:val="12"/>
          <w:szCs w:val="24"/>
        </w:rPr>
        <w:t>, (September), pp. 1–162. doi: http://researchrepository.</w:t>
      </w:r>
      <w:r w:rsidR="006521DD" w:rsidRPr="00EF6E2B">
        <w:rPr>
          <w:rFonts w:cs="Calibri"/>
          <w:noProof/>
          <w:sz w:val="12"/>
          <w:szCs w:val="24"/>
        </w:rPr>
        <w:t>murdoch.edu.au/399/2/02</w:t>
      </w:r>
      <w:r w:rsidRPr="00EF6E2B">
        <w:rPr>
          <w:rFonts w:cs="Calibri"/>
          <w:noProof/>
          <w:sz w:val="12"/>
          <w:szCs w:val="24"/>
        </w:rPr>
        <w:t>.</w:t>
      </w:r>
      <w:r w:rsidR="005D7B20" w:rsidRPr="00EF6E2B">
        <w:rPr>
          <w:b/>
          <w:sz w:val="12"/>
        </w:rPr>
        <w:fldChar w:fldCharType="end"/>
      </w:r>
    </w:p>
    <w:sectPr w:rsidR="00AB6D36" w:rsidRPr="00EF6E2B" w:rsidSect="00224F71">
      <w:headerReference w:type="even" r:id="rId9"/>
      <w:footerReference w:type="even" r:id="rId10"/>
      <w:headerReference w:type="first" r:id="rId11"/>
      <w:footerReference w:type="first" r:id="rId12"/>
      <w:type w:val="oddPage"/>
      <w:pgSz w:w="11906" w:h="16838" w:code="9"/>
      <w:pgMar w:top="1134" w:right="1134" w:bottom="1134" w:left="1134" w:header="709"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420" w:rsidRDefault="009B3420">
      <w:r>
        <w:separator/>
      </w:r>
    </w:p>
    <w:p w:rsidR="009B3420" w:rsidRDefault="009B3420"/>
  </w:endnote>
  <w:endnote w:type="continuationSeparator" w:id="0">
    <w:p w:rsidR="009B3420" w:rsidRDefault="009B3420">
      <w:r>
        <w:continuationSeparator/>
      </w:r>
    </w:p>
    <w:p w:rsidR="009B3420" w:rsidRDefault="009B34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Bauhaus_B-NExt">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4C" w:rsidRDefault="005D7B20" w:rsidP="00FF24E4">
    <w:pPr>
      <w:pStyle w:val="Footer"/>
      <w:jc w:val="center"/>
    </w:pPr>
    <w:r w:rsidRPr="00552212">
      <w:rPr>
        <w:sz w:val="20"/>
        <w:szCs w:val="18"/>
      </w:rPr>
      <w:fldChar w:fldCharType="begin"/>
    </w:r>
    <w:r w:rsidR="00756B4C" w:rsidRPr="00552212">
      <w:rPr>
        <w:sz w:val="20"/>
        <w:szCs w:val="18"/>
      </w:rPr>
      <w:instrText xml:space="preserve"> PAGE </w:instrText>
    </w:r>
    <w:r w:rsidRPr="00552212">
      <w:rPr>
        <w:sz w:val="20"/>
        <w:szCs w:val="18"/>
      </w:rPr>
      <w:fldChar w:fldCharType="separate"/>
    </w:r>
    <w:r w:rsidR="00EF6E2B">
      <w:rPr>
        <w:noProof/>
        <w:sz w:val="20"/>
        <w:szCs w:val="18"/>
      </w:rPr>
      <w:t>2</w:t>
    </w:r>
    <w:r w:rsidRPr="00552212">
      <w:rPr>
        <w:sz w:val="20"/>
        <w:szCs w:val="18"/>
      </w:rPr>
      <w:fldChar w:fldCharType="end"/>
    </w:r>
  </w:p>
  <w:p w:rsidR="00756B4C" w:rsidRDefault="00756B4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4C" w:rsidRDefault="005D7B20" w:rsidP="00FF24E4">
    <w:pPr>
      <w:pStyle w:val="Footer"/>
      <w:jc w:val="center"/>
    </w:pPr>
    <w:r w:rsidRPr="00552212">
      <w:rPr>
        <w:sz w:val="20"/>
        <w:szCs w:val="18"/>
      </w:rPr>
      <w:fldChar w:fldCharType="begin"/>
    </w:r>
    <w:r w:rsidR="00756B4C" w:rsidRPr="00552212">
      <w:rPr>
        <w:sz w:val="20"/>
        <w:szCs w:val="18"/>
      </w:rPr>
      <w:instrText xml:space="preserve"> PAGE </w:instrText>
    </w:r>
    <w:r w:rsidRPr="00552212">
      <w:rPr>
        <w:sz w:val="20"/>
        <w:szCs w:val="18"/>
      </w:rPr>
      <w:fldChar w:fldCharType="separate"/>
    </w:r>
    <w:r w:rsidR="00EF6E2B">
      <w:rPr>
        <w:noProof/>
        <w:sz w:val="20"/>
        <w:szCs w:val="18"/>
      </w:rPr>
      <w:t>1</w:t>
    </w:r>
    <w:r w:rsidRPr="00552212">
      <w:rPr>
        <w:sz w:val="20"/>
        <w:szCs w:val="18"/>
      </w:rPr>
      <w:fldChar w:fldCharType="end"/>
    </w:r>
  </w:p>
  <w:p w:rsidR="00756B4C" w:rsidRDefault="00756B4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420" w:rsidRDefault="009B3420">
      <w:r>
        <w:separator/>
      </w:r>
    </w:p>
    <w:p w:rsidR="009B3420" w:rsidRDefault="009B3420"/>
  </w:footnote>
  <w:footnote w:type="continuationSeparator" w:id="0">
    <w:p w:rsidR="009B3420" w:rsidRDefault="009B3420">
      <w:r>
        <w:continuationSeparator/>
      </w:r>
    </w:p>
    <w:p w:rsidR="009B3420" w:rsidRDefault="009B34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4C" w:rsidRPr="00EA33CA" w:rsidRDefault="00756B4C" w:rsidP="00AA0085">
    <w:pPr>
      <w:pStyle w:val="Header"/>
      <w:tabs>
        <w:tab w:val="clear" w:pos="4153"/>
        <w:tab w:val="clear" w:pos="8306"/>
        <w:tab w:val="right" w:pos="9638"/>
      </w:tabs>
      <w:jc w:val="center"/>
      <w:rPr>
        <w:rFonts w:ascii="Calibri" w:hAnsi="Calibri"/>
        <w:szCs w:val="18"/>
      </w:rPr>
    </w:pPr>
    <w:r w:rsidRPr="00EA33CA">
      <w:rPr>
        <w:rFonts w:ascii="Calibri" w:hAnsi="Calibri"/>
      </w:rPr>
      <w:tab/>
    </w:r>
  </w:p>
  <w:p w:rsidR="00756B4C" w:rsidRDefault="00756B4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BB1" w:rsidRDefault="00635DF7" w:rsidP="00816BB1">
    <w:pPr>
      <w:ind w:left="810" w:right="1178"/>
      <w:jc w:val="center"/>
      <w:rPr>
        <w:b/>
        <w:lang w:val="en-US"/>
      </w:rPr>
    </w:pPr>
    <w:r>
      <w:rPr>
        <w:noProof/>
        <w:lang w:val="en-US"/>
      </w:rPr>
      <w:drawing>
        <wp:anchor distT="0" distB="0" distL="114300" distR="114300" simplePos="0" relativeHeight="251658240" behindDoc="0" locked="0" layoutInCell="1" allowOverlap="1">
          <wp:simplePos x="0" y="0"/>
          <wp:positionH relativeFrom="column">
            <wp:posOffset>-66675</wp:posOffset>
          </wp:positionH>
          <wp:positionV relativeFrom="paragraph">
            <wp:posOffset>-245745</wp:posOffset>
          </wp:positionV>
          <wp:extent cx="499110" cy="561975"/>
          <wp:effectExtent l="0" t="0" r="0" b="0"/>
          <wp:wrapSquare wrapText="right"/>
          <wp:docPr id="4" name="Picture 4" descr="N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I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110" cy="561975"/>
                  </a:xfrm>
                  <a:prstGeom prst="rect">
                    <a:avLst/>
                  </a:prstGeom>
                  <a:noFill/>
                  <a:ln>
                    <a:noFill/>
                  </a:ln>
                </pic:spPr>
              </pic:pic>
            </a:graphicData>
          </a:graphic>
        </wp:anchor>
      </w:drawing>
    </w:r>
    <w:r>
      <w:rPr>
        <w:b/>
        <w:noProof/>
        <w:lang w:val="en-US"/>
      </w:rPr>
      <w:drawing>
        <wp:anchor distT="0" distB="0" distL="114300" distR="114300" simplePos="0" relativeHeight="251657216" behindDoc="1" locked="0" layoutInCell="1" allowOverlap="1">
          <wp:simplePos x="0" y="0"/>
          <wp:positionH relativeFrom="column">
            <wp:posOffset>5572125</wp:posOffset>
          </wp:positionH>
          <wp:positionV relativeFrom="paragraph">
            <wp:posOffset>-330200</wp:posOffset>
          </wp:positionV>
          <wp:extent cx="716915" cy="6191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6915" cy="619125"/>
                  </a:xfrm>
                  <a:prstGeom prst="rect">
                    <a:avLst/>
                  </a:prstGeom>
                  <a:noFill/>
                </pic:spPr>
              </pic:pic>
            </a:graphicData>
          </a:graphic>
        </wp:anchor>
      </w:drawing>
    </w:r>
    <w:r w:rsidR="006A1FD5" w:rsidRPr="006A1FD5">
      <w:rPr>
        <w:b/>
        <w:lang w:val="en-US"/>
      </w:rPr>
      <w:t>International Conference on</w:t>
    </w:r>
  </w:p>
  <w:p w:rsidR="00756B4C" w:rsidRPr="00816BB1" w:rsidRDefault="006A1FD5" w:rsidP="00816BB1">
    <w:pPr>
      <w:ind w:left="810" w:right="1178"/>
      <w:jc w:val="center"/>
      <w:rPr>
        <w:szCs w:val="22"/>
      </w:rPr>
    </w:pPr>
    <w:r w:rsidRPr="00816BB1">
      <w:rPr>
        <w:b/>
        <w:szCs w:val="22"/>
        <w:lang w:val="en-US"/>
      </w:rPr>
      <w:t>Innovative Tre</w:t>
    </w:r>
    <w:r w:rsidR="00816BB1" w:rsidRPr="00816BB1">
      <w:rPr>
        <w:b/>
        <w:szCs w:val="22"/>
        <w:lang w:val="en-US"/>
      </w:rPr>
      <w:t>n</w:t>
    </w:r>
    <w:r w:rsidRPr="00816BB1">
      <w:rPr>
        <w:b/>
        <w:szCs w:val="22"/>
        <w:lang w:val="en-US"/>
      </w:rPr>
      <w:t>ds in Civil Engineering for Sustainable Development (ITCSD - 2019)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97EC25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18968C3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0203DB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6B72963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751425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08EB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0E68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669E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16B6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CACE9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33A11E2"/>
    <w:lvl w:ilvl="0">
      <w:start w:val="1"/>
      <w:numFmt w:val="decimal"/>
      <w:lvlText w:val="%1."/>
      <w:legacy w:legacy="1" w:legacySpace="0" w:legacyIndent="567"/>
      <w:lvlJc w:val="left"/>
      <w:pPr>
        <w:ind w:left="900" w:hanging="567"/>
      </w:pPr>
      <w:rPr>
        <w:rFonts w:cs="Times New Roman"/>
      </w:rPr>
    </w:lvl>
    <w:lvl w:ilvl="1">
      <w:start w:val="1"/>
      <w:numFmt w:val="decimal"/>
      <w:lvlText w:val="%1.%2"/>
      <w:legacy w:legacy="1" w:legacySpace="0" w:legacyIndent="567"/>
      <w:lvlJc w:val="left"/>
      <w:pPr>
        <w:ind w:left="900" w:hanging="567"/>
      </w:pPr>
      <w:rPr>
        <w:rFonts w:cs="Times New Roman"/>
      </w:rPr>
    </w:lvl>
    <w:lvl w:ilvl="2">
      <w:start w:val="1"/>
      <w:numFmt w:val="decimal"/>
      <w:lvlText w:val="%1.%2.%3"/>
      <w:legacy w:legacy="1" w:legacySpace="0" w:legacyIndent="567"/>
      <w:lvlJc w:val="left"/>
      <w:pPr>
        <w:ind w:left="900" w:hanging="567"/>
      </w:pPr>
      <w:rPr>
        <w:rFonts w:cs="Times New Roman"/>
      </w:rPr>
    </w:lvl>
    <w:lvl w:ilvl="3">
      <w:start w:val="1"/>
      <w:numFmt w:val="decimal"/>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1" w15:restartNumberingAfterBreak="0">
    <w:nsid w:val="00000001"/>
    <w:multiLevelType w:val="singleLevel"/>
    <w:tmpl w:val="00000000"/>
    <w:lvl w:ilvl="0">
      <w:start w:val="1"/>
      <w:numFmt w:val="decimal"/>
      <w:lvlText w:val="%1."/>
      <w:lvlJc w:val="left"/>
      <w:pPr>
        <w:tabs>
          <w:tab w:val="num" w:pos="260"/>
        </w:tabs>
      </w:pPr>
      <w:rPr>
        <w:rFonts w:ascii="Times New Roman" w:hAnsi="Times New Roman" w:cs="Times New Roman"/>
        <w:b/>
        <w:sz w:val="22"/>
        <w:szCs w:val="22"/>
      </w:rPr>
    </w:lvl>
  </w:abstractNum>
  <w:abstractNum w:abstractNumId="12" w15:restartNumberingAfterBreak="0">
    <w:nsid w:val="22037870"/>
    <w:multiLevelType w:val="hybridMultilevel"/>
    <w:tmpl w:val="EA7E8BD8"/>
    <w:lvl w:ilvl="0" w:tplc="7436D134">
      <w:start w:val="1"/>
      <w:numFmt w:val="bullet"/>
      <w:pStyle w:val="Bullets"/>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57950CC"/>
    <w:multiLevelType w:val="singleLevel"/>
    <w:tmpl w:val="8A96036A"/>
    <w:lvl w:ilvl="0">
      <w:start w:val="1"/>
      <w:numFmt w:val="decimal"/>
      <w:lvlText w:val="%1."/>
      <w:lvlJc w:val="left"/>
      <w:pPr>
        <w:tabs>
          <w:tab w:val="num" w:pos="360"/>
        </w:tabs>
        <w:ind w:left="360" w:hanging="360"/>
      </w:pPr>
      <w:rPr>
        <w:rFonts w:cs="Times New Roman"/>
      </w:rPr>
    </w:lvl>
  </w:abstractNum>
  <w:abstractNum w:abstractNumId="14" w15:restartNumberingAfterBreak="0">
    <w:nsid w:val="5923545D"/>
    <w:multiLevelType w:val="multilevel"/>
    <w:tmpl w:val="04080023"/>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num w:numId="1">
    <w:abstractNumId w:val="11"/>
    <w:lvlOverride w:ilvl="0">
      <w:startOverride w:val="2"/>
      <w:lvl w:ilvl="0">
        <w:start w:val="2"/>
        <w:numFmt w:val="decimal"/>
        <w:lvlText w:val="%1."/>
        <w:lvlJc w:val="left"/>
        <w:rPr>
          <w:rFonts w:cs="Times New Roman"/>
        </w:rPr>
      </w:lvl>
    </w:lvlOverride>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noPunctuationKerning/>
  <w:characterSpacingControl w:val="doNotCompress"/>
  <w:doNotValidateAgainstSchema/>
  <w:doNotDemarcateInvalidXml/>
  <w:hdrShapeDefaults>
    <o:shapedefaults v:ext="edit" spidmax="7169"/>
  </w:hdrShapeDefaults>
  <w:footnotePr>
    <w:footnote w:id="-1"/>
    <w:footnote w:id="0"/>
  </w:footnotePr>
  <w:endnotePr>
    <w:endnote w:id="-1"/>
    <w:endnote w:id="0"/>
  </w:endnotePr>
  <w:compat>
    <w:compatSetting w:name="compatibilityMode" w:uri="http://schemas.microsoft.com/office/word" w:val="12"/>
  </w:compat>
  <w:rsids>
    <w:rsidRoot w:val="00761965"/>
    <w:rsid w:val="00003C45"/>
    <w:rsid w:val="00013373"/>
    <w:rsid w:val="00017E30"/>
    <w:rsid w:val="00022108"/>
    <w:rsid w:val="000227D0"/>
    <w:rsid w:val="0004221F"/>
    <w:rsid w:val="000437C4"/>
    <w:rsid w:val="00047AA7"/>
    <w:rsid w:val="00061000"/>
    <w:rsid w:val="00063B5B"/>
    <w:rsid w:val="00065DF6"/>
    <w:rsid w:val="000713D4"/>
    <w:rsid w:val="00094278"/>
    <w:rsid w:val="000A0790"/>
    <w:rsid w:val="000B7409"/>
    <w:rsid w:val="000D3AF3"/>
    <w:rsid w:val="000D5707"/>
    <w:rsid w:val="000D6DBF"/>
    <w:rsid w:val="000D7347"/>
    <w:rsid w:val="0011097C"/>
    <w:rsid w:val="00110F5F"/>
    <w:rsid w:val="00121320"/>
    <w:rsid w:val="0012318D"/>
    <w:rsid w:val="001252F2"/>
    <w:rsid w:val="00134EBB"/>
    <w:rsid w:val="00136FBE"/>
    <w:rsid w:val="00142C8C"/>
    <w:rsid w:val="0015402C"/>
    <w:rsid w:val="001703E6"/>
    <w:rsid w:val="00175508"/>
    <w:rsid w:val="00175A52"/>
    <w:rsid w:val="0019373B"/>
    <w:rsid w:val="001A0874"/>
    <w:rsid w:val="001A1700"/>
    <w:rsid w:val="001A3878"/>
    <w:rsid w:val="001B401B"/>
    <w:rsid w:val="001B700F"/>
    <w:rsid w:val="001C2B62"/>
    <w:rsid w:val="001C3A74"/>
    <w:rsid w:val="001D2F48"/>
    <w:rsid w:val="001D759D"/>
    <w:rsid w:val="001E621C"/>
    <w:rsid w:val="001F6279"/>
    <w:rsid w:val="00200297"/>
    <w:rsid w:val="00201BE8"/>
    <w:rsid w:val="00215A17"/>
    <w:rsid w:val="002244F0"/>
    <w:rsid w:val="00224F71"/>
    <w:rsid w:val="00236936"/>
    <w:rsid w:val="002412F7"/>
    <w:rsid w:val="00243317"/>
    <w:rsid w:val="002526CD"/>
    <w:rsid w:val="00255184"/>
    <w:rsid w:val="002554DB"/>
    <w:rsid w:val="002568BD"/>
    <w:rsid w:val="00261D67"/>
    <w:rsid w:val="0027427F"/>
    <w:rsid w:val="00276320"/>
    <w:rsid w:val="002837DC"/>
    <w:rsid w:val="0028423D"/>
    <w:rsid w:val="00286B56"/>
    <w:rsid w:val="00295DF3"/>
    <w:rsid w:val="002A37FC"/>
    <w:rsid w:val="002C176B"/>
    <w:rsid w:val="002C4915"/>
    <w:rsid w:val="002D15D8"/>
    <w:rsid w:val="002D4075"/>
    <w:rsid w:val="002D7D21"/>
    <w:rsid w:val="002E5646"/>
    <w:rsid w:val="002F108F"/>
    <w:rsid w:val="002F222D"/>
    <w:rsid w:val="002F2E43"/>
    <w:rsid w:val="002F4BFC"/>
    <w:rsid w:val="00301CA8"/>
    <w:rsid w:val="00304244"/>
    <w:rsid w:val="00305940"/>
    <w:rsid w:val="00307AA3"/>
    <w:rsid w:val="00320CD4"/>
    <w:rsid w:val="003228C5"/>
    <w:rsid w:val="00331509"/>
    <w:rsid w:val="00341117"/>
    <w:rsid w:val="00342780"/>
    <w:rsid w:val="00347FE8"/>
    <w:rsid w:val="003538A0"/>
    <w:rsid w:val="00362B68"/>
    <w:rsid w:val="003745E3"/>
    <w:rsid w:val="00383F38"/>
    <w:rsid w:val="0039463A"/>
    <w:rsid w:val="0039494E"/>
    <w:rsid w:val="003A21D8"/>
    <w:rsid w:val="003A2860"/>
    <w:rsid w:val="003A3DA9"/>
    <w:rsid w:val="003B0392"/>
    <w:rsid w:val="003C722B"/>
    <w:rsid w:val="003D56B5"/>
    <w:rsid w:val="003E071B"/>
    <w:rsid w:val="003E2463"/>
    <w:rsid w:val="003E6490"/>
    <w:rsid w:val="003E7AD2"/>
    <w:rsid w:val="003E7F46"/>
    <w:rsid w:val="003F0D2F"/>
    <w:rsid w:val="003F460C"/>
    <w:rsid w:val="00400AC3"/>
    <w:rsid w:val="00403166"/>
    <w:rsid w:val="0040761C"/>
    <w:rsid w:val="0041658D"/>
    <w:rsid w:val="00416B61"/>
    <w:rsid w:val="004208BB"/>
    <w:rsid w:val="00430627"/>
    <w:rsid w:val="00431C3E"/>
    <w:rsid w:val="00431F11"/>
    <w:rsid w:val="00436725"/>
    <w:rsid w:val="0043673D"/>
    <w:rsid w:val="004379D9"/>
    <w:rsid w:val="00464FDC"/>
    <w:rsid w:val="004666B7"/>
    <w:rsid w:val="00477B58"/>
    <w:rsid w:val="00477D90"/>
    <w:rsid w:val="004951C7"/>
    <w:rsid w:val="00496D46"/>
    <w:rsid w:val="00497184"/>
    <w:rsid w:val="004A1596"/>
    <w:rsid w:val="004A5795"/>
    <w:rsid w:val="004B615E"/>
    <w:rsid w:val="004B7E4A"/>
    <w:rsid w:val="004D0F02"/>
    <w:rsid w:val="004D10FB"/>
    <w:rsid w:val="004E4DC9"/>
    <w:rsid w:val="004E5C00"/>
    <w:rsid w:val="004E5EA1"/>
    <w:rsid w:val="004F0310"/>
    <w:rsid w:val="00516015"/>
    <w:rsid w:val="005311B3"/>
    <w:rsid w:val="0054273F"/>
    <w:rsid w:val="005457EE"/>
    <w:rsid w:val="00551C0D"/>
    <w:rsid w:val="00552212"/>
    <w:rsid w:val="005530D5"/>
    <w:rsid w:val="00554BA1"/>
    <w:rsid w:val="005553BE"/>
    <w:rsid w:val="00561277"/>
    <w:rsid w:val="00561A26"/>
    <w:rsid w:val="0056657A"/>
    <w:rsid w:val="00571281"/>
    <w:rsid w:val="00580567"/>
    <w:rsid w:val="00582798"/>
    <w:rsid w:val="00587500"/>
    <w:rsid w:val="00587889"/>
    <w:rsid w:val="00591295"/>
    <w:rsid w:val="005A1309"/>
    <w:rsid w:val="005B1A6C"/>
    <w:rsid w:val="005C17C5"/>
    <w:rsid w:val="005C6381"/>
    <w:rsid w:val="005D1F90"/>
    <w:rsid w:val="005D5057"/>
    <w:rsid w:val="005D6F29"/>
    <w:rsid w:val="005D7B20"/>
    <w:rsid w:val="005E13E1"/>
    <w:rsid w:val="005E2931"/>
    <w:rsid w:val="005F106B"/>
    <w:rsid w:val="006162EE"/>
    <w:rsid w:val="00620590"/>
    <w:rsid w:val="0063124A"/>
    <w:rsid w:val="00632DD6"/>
    <w:rsid w:val="00635DF7"/>
    <w:rsid w:val="006401F7"/>
    <w:rsid w:val="0064619E"/>
    <w:rsid w:val="006512A9"/>
    <w:rsid w:val="006521DD"/>
    <w:rsid w:val="00653BF3"/>
    <w:rsid w:val="006556EB"/>
    <w:rsid w:val="00663F6A"/>
    <w:rsid w:val="00670143"/>
    <w:rsid w:val="006757A9"/>
    <w:rsid w:val="00686085"/>
    <w:rsid w:val="00694690"/>
    <w:rsid w:val="00697709"/>
    <w:rsid w:val="006A1EDB"/>
    <w:rsid w:val="006A1FD5"/>
    <w:rsid w:val="006A38BF"/>
    <w:rsid w:val="006A5BAB"/>
    <w:rsid w:val="006B064D"/>
    <w:rsid w:val="006B7E42"/>
    <w:rsid w:val="006C3A53"/>
    <w:rsid w:val="006C4153"/>
    <w:rsid w:val="006C670D"/>
    <w:rsid w:val="006C6A64"/>
    <w:rsid w:val="006C6CF8"/>
    <w:rsid w:val="006D05C1"/>
    <w:rsid w:val="006D577C"/>
    <w:rsid w:val="006E132A"/>
    <w:rsid w:val="006E1C16"/>
    <w:rsid w:val="006E2003"/>
    <w:rsid w:val="006E2980"/>
    <w:rsid w:val="006E7859"/>
    <w:rsid w:val="006F2851"/>
    <w:rsid w:val="006F2C9B"/>
    <w:rsid w:val="00704493"/>
    <w:rsid w:val="00705CD2"/>
    <w:rsid w:val="00711EE2"/>
    <w:rsid w:val="00720752"/>
    <w:rsid w:val="007211EB"/>
    <w:rsid w:val="0074196A"/>
    <w:rsid w:val="00744E46"/>
    <w:rsid w:val="00745192"/>
    <w:rsid w:val="0075594D"/>
    <w:rsid w:val="00756B4C"/>
    <w:rsid w:val="00761965"/>
    <w:rsid w:val="007720BC"/>
    <w:rsid w:val="00775BD4"/>
    <w:rsid w:val="00777FEA"/>
    <w:rsid w:val="00780AF3"/>
    <w:rsid w:val="007827FA"/>
    <w:rsid w:val="00786C6C"/>
    <w:rsid w:val="0079018C"/>
    <w:rsid w:val="0079230E"/>
    <w:rsid w:val="007975B8"/>
    <w:rsid w:val="007A2F96"/>
    <w:rsid w:val="007A7088"/>
    <w:rsid w:val="007B5832"/>
    <w:rsid w:val="007C55D0"/>
    <w:rsid w:val="007D121B"/>
    <w:rsid w:val="0080744A"/>
    <w:rsid w:val="008134B9"/>
    <w:rsid w:val="00816BB1"/>
    <w:rsid w:val="00834373"/>
    <w:rsid w:val="008427B1"/>
    <w:rsid w:val="00843509"/>
    <w:rsid w:val="00853B2D"/>
    <w:rsid w:val="00855267"/>
    <w:rsid w:val="00860E2E"/>
    <w:rsid w:val="00863024"/>
    <w:rsid w:val="00863EF5"/>
    <w:rsid w:val="008663AD"/>
    <w:rsid w:val="00866910"/>
    <w:rsid w:val="00866AC4"/>
    <w:rsid w:val="00874D04"/>
    <w:rsid w:val="008777E0"/>
    <w:rsid w:val="008863A9"/>
    <w:rsid w:val="00896FAB"/>
    <w:rsid w:val="00897446"/>
    <w:rsid w:val="008A6630"/>
    <w:rsid w:val="008A7AEB"/>
    <w:rsid w:val="008D09F1"/>
    <w:rsid w:val="008D0D57"/>
    <w:rsid w:val="008E7007"/>
    <w:rsid w:val="009005C6"/>
    <w:rsid w:val="00904B2F"/>
    <w:rsid w:val="00906FB6"/>
    <w:rsid w:val="009118A2"/>
    <w:rsid w:val="00911C6E"/>
    <w:rsid w:val="00912BA2"/>
    <w:rsid w:val="00935B00"/>
    <w:rsid w:val="00945F31"/>
    <w:rsid w:val="009512DE"/>
    <w:rsid w:val="00952FF5"/>
    <w:rsid w:val="00953154"/>
    <w:rsid w:val="009602A6"/>
    <w:rsid w:val="00964779"/>
    <w:rsid w:val="00967A11"/>
    <w:rsid w:val="009811C6"/>
    <w:rsid w:val="00985C01"/>
    <w:rsid w:val="009874CF"/>
    <w:rsid w:val="00990C09"/>
    <w:rsid w:val="00994E9F"/>
    <w:rsid w:val="00994F31"/>
    <w:rsid w:val="009A6DEA"/>
    <w:rsid w:val="009B0CCB"/>
    <w:rsid w:val="009B3420"/>
    <w:rsid w:val="009C60D3"/>
    <w:rsid w:val="009E2E86"/>
    <w:rsid w:val="009F6A1E"/>
    <w:rsid w:val="00A01AA4"/>
    <w:rsid w:val="00A0670D"/>
    <w:rsid w:val="00A15B52"/>
    <w:rsid w:val="00A21A9B"/>
    <w:rsid w:val="00A241BE"/>
    <w:rsid w:val="00A27285"/>
    <w:rsid w:val="00A30DEE"/>
    <w:rsid w:val="00A32987"/>
    <w:rsid w:val="00A41516"/>
    <w:rsid w:val="00A5250C"/>
    <w:rsid w:val="00A526F1"/>
    <w:rsid w:val="00A54B05"/>
    <w:rsid w:val="00A57C59"/>
    <w:rsid w:val="00A7147E"/>
    <w:rsid w:val="00A75E42"/>
    <w:rsid w:val="00A81006"/>
    <w:rsid w:val="00A9704A"/>
    <w:rsid w:val="00AA0085"/>
    <w:rsid w:val="00AA020B"/>
    <w:rsid w:val="00AB6D36"/>
    <w:rsid w:val="00AB779A"/>
    <w:rsid w:val="00AC562C"/>
    <w:rsid w:val="00AC6B95"/>
    <w:rsid w:val="00AD387A"/>
    <w:rsid w:val="00AD7A4B"/>
    <w:rsid w:val="00AE5B4F"/>
    <w:rsid w:val="00AE6DED"/>
    <w:rsid w:val="00AF3010"/>
    <w:rsid w:val="00AF5544"/>
    <w:rsid w:val="00AF5EF3"/>
    <w:rsid w:val="00AF7F7B"/>
    <w:rsid w:val="00B03F0F"/>
    <w:rsid w:val="00B04FAA"/>
    <w:rsid w:val="00B05E6B"/>
    <w:rsid w:val="00B06F1A"/>
    <w:rsid w:val="00B10AC0"/>
    <w:rsid w:val="00B1113C"/>
    <w:rsid w:val="00B12E11"/>
    <w:rsid w:val="00B13EEB"/>
    <w:rsid w:val="00B153A7"/>
    <w:rsid w:val="00B3525A"/>
    <w:rsid w:val="00B36E7F"/>
    <w:rsid w:val="00B37816"/>
    <w:rsid w:val="00B423D7"/>
    <w:rsid w:val="00B4348C"/>
    <w:rsid w:val="00B45BCC"/>
    <w:rsid w:val="00B545D3"/>
    <w:rsid w:val="00B55B08"/>
    <w:rsid w:val="00B56948"/>
    <w:rsid w:val="00B72E65"/>
    <w:rsid w:val="00B8317A"/>
    <w:rsid w:val="00B844A3"/>
    <w:rsid w:val="00B93AEC"/>
    <w:rsid w:val="00B94712"/>
    <w:rsid w:val="00BA1AB4"/>
    <w:rsid w:val="00BA5472"/>
    <w:rsid w:val="00BA6195"/>
    <w:rsid w:val="00BA7157"/>
    <w:rsid w:val="00BB0961"/>
    <w:rsid w:val="00BB2F3B"/>
    <w:rsid w:val="00BB41E4"/>
    <w:rsid w:val="00BC2B01"/>
    <w:rsid w:val="00BC390C"/>
    <w:rsid w:val="00BD3A8B"/>
    <w:rsid w:val="00BD67A5"/>
    <w:rsid w:val="00BD755C"/>
    <w:rsid w:val="00BE09C3"/>
    <w:rsid w:val="00BF2E71"/>
    <w:rsid w:val="00C10B44"/>
    <w:rsid w:val="00C23BBE"/>
    <w:rsid w:val="00C330B8"/>
    <w:rsid w:val="00C36B13"/>
    <w:rsid w:val="00C37AAF"/>
    <w:rsid w:val="00C40CDE"/>
    <w:rsid w:val="00C45621"/>
    <w:rsid w:val="00C47A76"/>
    <w:rsid w:val="00C47EE2"/>
    <w:rsid w:val="00C52221"/>
    <w:rsid w:val="00C52755"/>
    <w:rsid w:val="00C64FDC"/>
    <w:rsid w:val="00C6628E"/>
    <w:rsid w:val="00C76730"/>
    <w:rsid w:val="00C82448"/>
    <w:rsid w:val="00C85DF9"/>
    <w:rsid w:val="00C927A3"/>
    <w:rsid w:val="00CA06E0"/>
    <w:rsid w:val="00CA2EE9"/>
    <w:rsid w:val="00CA38AE"/>
    <w:rsid w:val="00CA4409"/>
    <w:rsid w:val="00CB274D"/>
    <w:rsid w:val="00CC24C0"/>
    <w:rsid w:val="00CC6583"/>
    <w:rsid w:val="00CD1DDE"/>
    <w:rsid w:val="00CD68C9"/>
    <w:rsid w:val="00CE0D3D"/>
    <w:rsid w:val="00CE105E"/>
    <w:rsid w:val="00CE2F8D"/>
    <w:rsid w:val="00CF5D35"/>
    <w:rsid w:val="00D07491"/>
    <w:rsid w:val="00D14200"/>
    <w:rsid w:val="00D24821"/>
    <w:rsid w:val="00D4689C"/>
    <w:rsid w:val="00D552EA"/>
    <w:rsid w:val="00D6261F"/>
    <w:rsid w:val="00D702A7"/>
    <w:rsid w:val="00D7161D"/>
    <w:rsid w:val="00D73379"/>
    <w:rsid w:val="00D73B42"/>
    <w:rsid w:val="00D75FF7"/>
    <w:rsid w:val="00D761B6"/>
    <w:rsid w:val="00D93E6D"/>
    <w:rsid w:val="00DA09AE"/>
    <w:rsid w:val="00DA17BE"/>
    <w:rsid w:val="00DC5CC4"/>
    <w:rsid w:val="00DD1A2F"/>
    <w:rsid w:val="00DD5ECF"/>
    <w:rsid w:val="00DE15C0"/>
    <w:rsid w:val="00DE1F26"/>
    <w:rsid w:val="00DE3561"/>
    <w:rsid w:val="00DE4D18"/>
    <w:rsid w:val="00DF1E0C"/>
    <w:rsid w:val="00DF7129"/>
    <w:rsid w:val="00E007E5"/>
    <w:rsid w:val="00E03CFD"/>
    <w:rsid w:val="00E12C17"/>
    <w:rsid w:val="00E22CFE"/>
    <w:rsid w:val="00E24719"/>
    <w:rsid w:val="00E31F0C"/>
    <w:rsid w:val="00E32EC2"/>
    <w:rsid w:val="00E35231"/>
    <w:rsid w:val="00E401C2"/>
    <w:rsid w:val="00E53005"/>
    <w:rsid w:val="00E57D61"/>
    <w:rsid w:val="00E57E91"/>
    <w:rsid w:val="00E6098D"/>
    <w:rsid w:val="00E610DE"/>
    <w:rsid w:val="00E74495"/>
    <w:rsid w:val="00E85048"/>
    <w:rsid w:val="00E90489"/>
    <w:rsid w:val="00E963BC"/>
    <w:rsid w:val="00EA33CA"/>
    <w:rsid w:val="00EA36B6"/>
    <w:rsid w:val="00ED356D"/>
    <w:rsid w:val="00ED4581"/>
    <w:rsid w:val="00EF06E3"/>
    <w:rsid w:val="00EF1E0B"/>
    <w:rsid w:val="00EF3CE9"/>
    <w:rsid w:val="00EF6E2B"/>
    <w:rsid w:val="00EF7943"/>
    <w:rsid w:val="00F048E8"/>
    <w:rsid w:val="00F04CBA"/>
    <w:rsid w:val="00F10DCA"/>
    <w:rsid w:val="00F262B4"/>
    <w:rsid w:val="00F30083"/>
    <w:rsid w:val="00F32A60"/>
    <w:rsid w:val="00F32F67"/>
    <w:rsid w:val="00F35EB5"/>
    <w:rsid w:val="00F40DA4"/>
    <w:rsid w:val="00F5725A"/>
    <w:rsid w:val="00F603FF"/>
    <w:rsid w:val="00F611E2"/>
    <w:rsid w:val="00F6315D"/>
    <w:rsid w:val="00F76388"/>
    <w:rsid w:val="00F82585"/>
    <w:rsid w:val="00F83766"/>
    <w:rsid w:val="00F85DF8"/>
    <w:rsid w:val="00F8731D"/>
    <w:rsid w:val="00FA1A9B"/>
    <w:rsid w:val="00FA27F1"/>
    <w:rsid w:val="00FB3F5D"/>
    <w:rsid w:val="00FC3FA9"/>
    <w:rsid w:val="00FC5501"/>
    <w:rsid w:val="00FD1804"/>
    <w:rsid w:val="00FD2A8A"/>
    <w:rsid w:val="00FD3682"/>
    <w:rsid w:val="00FE22E0"/>
    <w:rsid w:val="00FE5657"/>
    <w:rsid w:val="00FE7C20"/>
    <w:rsid w:val="00FF15FA"/>
    <w:rsid w:val="00FF2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oNotEmbedSmartTags/>
  <w:decimalSymbol w:val="."/>
  <w:listSeparator w:val=","/>
  <w15:docId w15:val="{2C509D75-B187-4D30-9113-42D1446C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90C"/>
    <w:pPr>
      <w:jc w:val="both"/>
    </w:pPr>
    <w:rPr>
      <w:rFonts w:ascii="Calibri" w:hAnsi="Calibri"/>
      <w:sz w:val="22"/>
      <w:lang w:val="en-GB"/>
    </w:rPr>
  </w:style>
  <w:style w:type="paragraph" w:styleId="Heading1">
    <w:name w:val="heading 1"/>
    <w:basedOn w:val="Normal"/>
    <w:next w:val="Normal"/>
    <w:link w:val="Heading1Char"/>
    <w:qFormat/>
    <w:rsid w:val="00BC390C"/>
    <w:pPr>
      <w:keepNext/>
      <w:spacing w:before="240" w:after="120"/>
      <w:outlineLvl w:val="0"/>
    </w:pPr>
    <w:rPr>
      <w:b/>
      <w:bCs/>
      <w:sz w:val="24"/>
      <w:szCs w:val="22"/>
    </w:rPr>
  </w:style>
  <w:style w:type="paragraph" w:styleId="Heading2">
    <w:name w:val="heading 2"/>
    <w:basedOn w:val="Heading1"/>
    <w:next w:val="Normal"/>
    <w:link w:val="Heading2Char"/>
    <w:qFormat/>
    <w:rsid w:val="002A37FC"/>
    <w:pPr>
      <w:spacing w:before="480" w:after="240"/>
      <w:ind w:left="284"/>
      <w:outlineLvl w:val="1"/>
    </w:pPr>
    <w:rPr>
      <w:rFonts w:cs="Arial"/>
      <w:b w:val="0"/>
      <w:bCs w:val="0"/>
      <w:i/>
      <w:iCs/>
      <w:szCs w:val="28"/>
    </w:rPr>
  </w:style>
  <w:style w:type="paragraph" w:styleId="Heading3">
    <w:name w:val="heading 3"/>
    <w:basedOn w:val="Heading2"/>
    <w:next w:val="Normal"/>
    <w:qFormat/>
    <w:rsid w:val="00331509"/>
    <w:pPr>
      <w:outlineLvl w:val="2"/>
    </w:pPr>
    <w:rPr>
      <w:rFonts w:ascii="Times New Roman" w:hAnsi="Times New Roman"/>
      <w:lang w:val="en-US"/>
    </w:rPr>
  </w:style>
  <w:style w:type="paragraph" w:styleId="Heading4">
    <w:name w:val="heading 4"/>
    <w:basedOn w:val="Heading3"/>
    <w:next w:val="Normal"/>
    <w:qFormat/>
    <w:rsid w:val="00FE22E0"/>
    <w:pPr>
      <w:keepLines/>
      <w:spacing w:before="240" w:line="260" w:lineRule="exact"/>
      <w:jc w:val="left"/>
      <w:outlineLvl w:val="3"/>
    </w:pPr>
    <w:rPr>
      <w:i w:val="0"/>
      <w:kern w:val="20"/>
      <w:u w:val="single"/>
    </w:rPr>
  </w:style>
  <w:style w:type="paragraph" w:styleId="Heading5">
    <w:name w:val="heading 5"/>
    <w:basedOn w:val="Heading4"/>
    <w:next w:val="Normal"/>
    <w:qFormat/>
    <w:rsid w:val="002A37FC"/>
    <w:pPr>
      <w:numPr>
        <w:ilvl w:val="4"/>
        <w:numId w:val="14"/>
      </w:numPr>
      <w:outlineLvl w:val="4"/>
    </w:pPr>
  </w:style>
  <w:style w:type="paragraph" w:styleId="Heading6">
    <w:name w:val="heading 6"/>
    <w:basedOn w:val="Heading4"/>
    <w:next w:val="Normal"/>
    <w:qFormat/>
    <w:rsid w:val="002A37FC"/>
    <w:pPr>
      <w:numPr>
        <w:ilvl w:val="5"/>
        <w:numId w:val="14"/>
      </w:numPr>
      <w:outlineLvl w:val="5"/>
    </w:pPr>
  </w:style>
  <w:style w:type="paragraph" w:styleId="Heading7">
    <w:name w:val="heading 7"/>
    <w:basedOn w:val="Heading4"/>
    <w:next w:val="Normal"/>
    <w:qFormat/>
    <w:rsid w:val="002A37FC"/>
    <w:pPr>
      <w:numPr>
        <w:ilvl w:val="6"/>
        <w:numId w:val="14"/>
      </w:numPr>
      <w:outlineLvl w:val="6"/>
    </w:pPr>
  </w:style>
  <w:style w:type="paragraph" w:styleId="Heading8">
    <w:name w:val="heading 8"/>
    <w:basedOn w:val="Heading4"/>
    <w:next w:val="Normal"/>
    <w:qFormat/>
    <w:rsid w:val="002A37FC"/>
    <w:pPr>
      <w:numPr>
        <w:ilvl w:val="7"/>
        <w:numId w:val="14"/>
      </w:numPr>
      <w:outlineLvl w:val="7"/>
    </w:pPr>
  </w:style>
  <w:style w:type="paragraph" w:styleId="Heading9">
    <w:name w:val="heading 9"/>
    <w:basedOn w:val="Heading4"/>
    <w:next w:val="Normal"/>
    <w:qFormat/>
    <w:rsid w:val="002A37FC"/>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C390C"/>
    <w:rPr>
      <w:rFonts w:ascii="Calibri" w:hAnsi="Calibri" w:cs="Times New Roman"/>
      <w:b/>
      <w:bCs/>
      <w:sz w:val="22"/>
      <w:szCs w:val="22"/>
      <w:lang w:val="en-GB"/>
    </w:rPr>
  </w:style>
  <w:style w:type="character" w:customStyle="1" w:styleId="Heading2Char">
    <w:name w:val="Heading 2 Char"/>
    <w:link w:val="Heading2"/>
    <w:locked/>
    <w:rsid w:val="00554BA1"/>
    <w:rPr>
      <w:rFonts w:ascii="Calibri" w:hAnsi="Calibri" w:cs="Arial"/>
      <w:i/>
      <w:iCs/>
      <w:sz w:val="28"/>
      <w:szCs w:val="28"/>
      <w:lang w:val="en-GB"/>
    </w:rPr>
  </w:style>
  <w:style w:type="paragraph" w:customStyle="1" w:styleId="Affiliation">
    <w:name w:val="Affiliation"/>
    <w:next w:val="Normal"/>
    <w:rsid w:val="00301CA8"/>
    <w:pPr>
      <w:spacing w:after="360"/>
    </w:pPr>
    <w:rPr>
      <w:rFonts w:ascii="Calibri" w:hAnsi="Calibri"/>
      <w:i/>
      <w:noProof/>
      <w:lang w:val="en-GB"/>
    </w:rPr>
  </w:style>
  <w:style w:type="character" w:customStyle="1" w:styleId="BodyTextChar">
    <w:name w:val="Body Text Char"/>
    <w:link w:val="BodyText"/>
    <w:locked/>
    <w:rsid w:val="00580567"/>
    <w:rPr>
      <w:rFonts w:ascii="Calibri" w:hAnsi="Calibri" w:cs="Times New Roman"/>
      <w:sz w:val="22"/>
      <w:szCs w:val="22"/>
      <w:lang w:val="en-GB"/>
    </w:rPr>
  </w:style>
  <w:style w:type="paragraph" w:styleId="BodyText">
    <w:name w:val="Body Text"/>
    <w:basedOn w:val="Normal"/>
    <w:link w:val="BodyTextChar"/>
    <w:rsid w:val="00580567"/>
    <w:pPr>
      <w:widowControl w:val="0"/>
      <w:autoSpaceDE w:val="0"/>
      <w:autoSpaceDN w:val="0"/>
      <w:adjustRightInd w:val="0"/>
      <w:ind w:firstLine="284"/>
    </w:pPr>
    <w:rPr>
      <w:szCs w:val="22"/>
    </w:rPr>
  </w:style>
  <w:style w:type="paragraph" w:customStyle="1" w:styleId="Author">
    <w:name w:val="Author"/>
    <w:rsid w:val="00301CA8"/>
    <w:pPr>
      <w:spacing w:before="240"/>
    </w:pPr>
    <w:rPr>
      <w:rFonts w:ascii="Calibri" w:hAnsi="Calibri"/>
      <w:noProof/>
      <w:sz w:val="24"/>
      <w:szCs w:val="24"/>
      <w:lang w:val="en-GB"/>
    </w:rPr>
  </w:style>
  <w:style w:type="paragraph" w:customStyle="1" w:styleId="Figure">
    <w:name w:val="Figure"/>
    <w:basedOn w:val="Normal"/>
    <w:next w:val="Normal"/>
    <w:rsid w:val="00CE105E"/>
    <w:pPr>
      <w:keepNext/>
      <w:spacing w:before="120" w:after="120"/>
      <w:jc w:val="center"/>
    </w:pPr>
    <w:rPr>
      <w:i/>
      <w:sz w:val="20"/>
    </w:rPr>
  </w:style>
  <w:style w:type="paragraph" w:customStyle="1" w:styleId="References">
    <w:name w:val="References"/>
    <w:basedOn w:val="Normal"/>
    <w:rsid w:val="005A1309"/>
    <w:pPr>
      <w:widowControl w:val="0"/>
      <w:ind w:left="284" w:hanging="284"/>
    </w:pPr>
    <w:rPr>
      <w:sz w:val="20"/>
    </w:rPr>
  </w:style>
  <w:style w:type="paragraph" w:customStyle="1" w:styleId="Tablecaption">
    <w:name w:val="Table caption"/>
    <w:basedOn w:val="Normal"/>
    <w:next w:val="Normal"/>
    <w:rsid w:val="00B423D7"/>
    <w:pPr>
      <w:keepNext/>
      <w:keepLines/>
      <w:suppressAutoHyphens/>
      <w:spacing w:before="120" w:after="120"/>
      <w:ind w:left="992" w:hanging="992"/>
      <w:jc w:val="center"/>
    </w:pPr>
    <w:rPr>
      <w:i/>
      <w:sz w:val="20"/>
      <w:lang w:eastAsia="it-IT" w:bidi="he-IL"/>
    </w:rPr>
  </w:style>
  <w:style w:type="paragraph" w:styleId="Title">
    <w:name w:val="Title"/>
    <w:basedOn w:val="Normal"/>
    <w:qFormat/>
    <w:rsid w:val="003745E3"/>
    <w:pPr>
      <w:spacing w:before="480" w:after="120"/>
    </w:pPr>
    <w:rPr>
      <w:b/>
      <w:sz w:val="32"/>
      <w:szCs w:val="32"/>
    </w:rPr>
  </w:style>
  <w:style w:type="paragraph" w:styleId="Footer">
    <w:name w:val="footer"/>
    <w:basedOn w:val="Normal"/>
    <w:rsid w:val="002A37FC"/>
    <w:pPr>
      <w:tabs>
        <w:tab w:val="center" w:pos="4153"/>
        <w:tab w:val="right" w:pos="8306"/>
      </w:tabs>
    </w:pPr>
  </w:style>
  <w:style w:type="paragraph" w:styleId="Header">
    <w:name w:val="header"/>
    <w:basedOn w:val="Normal"/>
    <w:rsid w:val="00866910"/>
    <w:pPr>
      <w:tabs>
        <w:tab w:val="center" w:pos="4153"/>
        <w:tab w:val="right" w:pos="8306"/>
      </w:tabs>
    </w:pPr>
    <w:rPr>
      <w:rFonts w:ascii="AG-Bauhaus_B-NExt" w:hAnsi="AG-Bauhaus_B-NExt"/>
      <w:sz w:val="18"/>
    </w:rPr>
  </w:style>
  <w:style w:type="paragraph" w:customStyle="1" w:styleId="Equation">
    <w:name w:val="Equation"/>
    <w:basedOn w:val="Normal"/>
    <w:rsid w:val="00DF7129"/>
    <w:pPr>
      <w:widowControl w:val="0"/>
      <w:tabs>
        <w:tab w:val="left" w:pos="5118"/>
        <w:tab w:val="right" w:pos="9639"/>
      </w:tabs>
      <w:spacing w:before="120" w:after="120"/>
      <w:ind w:left="284"/>
    </w:pPr>
    <w:rPr>
      <w:szCs w:val="24"/>
    </w:rPr>
  </w:style>
  <w:style w:type="paragraph" w:customStyle="1" w:styleId="Bullets">
    <w:name w:val="Bullets"/>
    <w:basedOn w:val="BodyText"/>
    <w:rsid w:val="00BC390C"/>
    <w:pPr>
      <w:numPr>
        <w:numId w:val="15"/>
      </w:numPr>
      <w:ind w:left="567" w:hanging="283"/>
    </w:pPr>
  </w:style>
  <w:style w:type="paragraph" w:customStyle="1" w:styleId="Acknowledments">
    <w:name w:val="Acknowledments"/>
    <w:basedOn w:val="BodyText"/>
    <w:next w:val="Heading1"/>
    <w:rsid w:val="007827FA"/>
    <w:pPr>
      <w:spacing w:before="240"/>
      <w:ind w:firstLine="0"/>
    </w:pPr>
  </w:style>
  <w:style w:type="paragraph" w:customStyle="1" w:styleId="Table">
    <w:name w:val="Table"/>
    <w:basedOn w:val="Normal"/>
    <w:rsid w:val="005A1309"/>
    <w:rPr>
      <w:sz w:val="18"/>
    </w:rPr>
  </w:style>
  <w:style w:type="character" w:styleId="Hyperlink">
    <w:name w:val="Hyperlink"/>
    <w:rsid w:val="00B37816"/>
    <w:rPr>
      <w:rFonts w:cs="Times New Roman"/>
      <w:color w:val="0000FF"/>
      <w:u w:val="single"/>
    </w:rPr>
  </w:style>
  <w:style w:type="table" w:styleId="TableGrid">
    <w:name w:val="Table Grid"/>
    <w:basedOn w:val="TableNormal"/>
    <w:rsid w:val="00C36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93AEC"/>
    <w:rPr>
      <w:rFonts w:ascii="Tahoma" w:hAnsi="Tahoma" w:cs="Tahoma"/>
      <w:sz w:val="16"/>
      <w:szCs w:val="16"/>
    </w:rPr>
  </w:style>
  <w:style w:type="character" w:customStyle="1" w:styleId="BalloonTextChar">
    <w:name w:val="Balloon Text Char"/>
    <w:basedOn w:val="DefaultParagraphFont"/>
    <w:link w:val="BalloonText"/>
    <w:rsid w:val="00B93AEC"/>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854346048">
      <w:bodyDiv w:val="1"/>
      <w:marLeft w:val="0"/>
      <w:marRight w:val="0"/>
      <w:marTop w:val="0"/>
      <w:marBottom w:val="0"/>
      <w:divBdr>
        <w:top w:val="none" w:sz="0" w:space="0" w:color="auto"/>
        <w:left w:val="none" w:sz="0" w:space="0" w:color="auto"/>
        <w:bottom w:val="none" w:sz="0" w:space="0" w:color="auto"/>
        <w:right w:val="none" w:sz="0" w:space="0" w:color="auto"/>
      </w:divBdr>
    </w:div>
    <w:div w:id="870999953">
      <w:bodyDiv w:val="1"/>
      <w:marLeft w:val="0"/>
      <w:marRight w:val="0"/>
      <w:marTop w:val="0"/>
      <w:marBottom w:val="0"/>
      <w:divBdr>
        <w:top w:val="none" w:sz="0" w:space="0" w:color="auto"/>
        <w:left w:val="none" w:sz="0" w:space="0" w:color="auto"/>
        <w:bottom w:val="none" w:sz="0" w:space="0" w:color="auto"/>
        <w:right w:val="none" w:sz="0" w:space="0" w:color="auto"/>
      </w:divBdr>
    </w:div>
    <w:div w:id="996152537">
      <w:bodyDiv w:val="1"/>
      <w:marLeft w:val="0"/>
      <w:marRight w:val="0"/>
      <w:marTop w:val="0"/>
      <w:marBottom w:val="0"/>
      <w:divBdr>
        <w:top w:val="none" w:sz="0" w:space="0" w:color="auto"/>
        <w:left w:val="none" w:sz="0" w:space="0" w:color="auto"/>
        <w:bottom w:val="none" w:sz="0" w:space="0" w:color="auto"/>
        <w:right w:val="none" w:sz="0" w:space="0" w:color="auto"/>
      </w:divBdr>
    </w:div>
    <w:div w:id="1202477667">
      <w:bodyDiv w:val="1"/>
      <w:marLeft w:val="0"/>
      <w:marRight w:val="0"/>
      <w:marTop w:val="0"/>
      <w:marBottom w:val="0"/>
      <w:divBdr>
        <w:top w:val="none" w:sz="0" w:space="0" w:color="auto"/>
        <w:left w:val="none" w:sz="0" w:space="0" w:color="auto"/>
        <w:bottom w:val="none" w:sz="0" w:space="0" w:color="auto"/>
        <w:right w:val="none" w:sz="0" w:space="0" w:color="auto"/>
      </w:divBdr>
    </w:div>
    <w:div w:id="1242593588">
      <w:bodyDiv w:val="1"/>
      <w:marLeft w:val="0"/>
      <w:marRight w:val="0"/>
      <w:marTop w:val="0"/>
      <w:marBottom w:val="0"/>
      <w:divBdr>
        <w:top w:val="none" w:sz="0" w:space="0" w:color="auto"/>
        <w:left w:val="none" w:sz="0" w:space="0" w:color="auto"/>
        <w:bottom w:val="none" w:sz="0" w:space="0" w:color="auto"/>
        <w:right w:val="none" w:sz="0" w:space="0" w:color="auto"/>
      </w:divBdr>
    </w:div>
    <w:div w:id="1646742484">
      <w:bodyDiv w:val="1"/>
      <w:marLeft w:val="0"/>
      <w:marRight w:val="0"/>
      <w:marTop w:val="0"/>
      <w:marBottom w:val="0"/>
      <w:divBdr>
        <w:top w:val="none" w:sz="0" w:space="0" w:color="auto"/>
        <w:left w:val="none" w:sz="0" w:space="0" w:color="auto"/>
        <w:bottom w:val="none" w:sz="0" w:space="0" w:color="auto"/>
        <w:right w:val="none" w:sz="0" w:space="0" w:color="auto"/>
      </w:divBdr>
    </w:div>
    <w:div w:id="1860701548">
      <w:bodyDiv w:val="1"/>
      <w:marLeft w:val="0"/>
      <w:marRight w:val="0"/>
      <w:marTop w:val="0"/>
      <w:marBottom w:val="0"/>
      <w:divBdr>
        <w:top w:val="none" w:sz="0" w:space="0" w:color="auto"/>
        <w:left w:val="none" w:sz="0" w:space="0" w:color="auto"/>
        <w:bottom w:val="none" w:sz="0" w:space="0" w:color="auto"/>
        <w:right w:val="none" w:sz="0" w:space="0" w:color="auto"/>
      </w:divBdr>
    </w:div>
    <w:div w:id="211802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BA770-AEAC-41E7-8E2A-7568593C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Pages>
  <Words>4350</Words>
  <Characters>24798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EWRA Congress Template</vt:lpstr>
    </vt:vector>
  </TitlesOfParts>
  <Company/>
  <LinksUpToDate>false</LinksUpToDate>
  <CharactersWithSpaces>29090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EWRA Congress Template</dc:title>
  <dc:subject/>
  <dc:creator>EW Publications</dc:creator>
  <cp:keywords/>
  <dc:description/>
  <cp:lastModifiedBy>hindavi gavali</cp:lastModifiedBy>
  <cp:revision>23</cp:revision>
  <cp:lastPrinted>2018-03-02T13:27:00Z</cp:lastPrinted>
  <dcterms:created xsi:type="dcterms:W3CDTF">2019-06-18T13:06:00Z</dcterms:created>
  <dcterms:modified xsi:type="dcterms:W3CDTF">2019-06-20T07:08:00Z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Springer Basic (author-date, no "et al.")</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http://www.zotero.org/styles/construction-and-building-materials</vt:lpwstr>
  </property>
  <property fmtid="{D5CDD505-2E9C-101B-9397-08002B2CF9AE}" pid="14" name="Mendeley Recent Style Name 5_1">
    <vt:lpwstr>Construction and Building Materials</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http://www.zotero.org/styles/microbiological-research</vt:lpwstr>
  </property>
  <property fmtid="{D5CDD505-2E9C-101B-9397-08002B2CF9AE}" pid="20" name="Mendeley Recent Style Name 8_1">
    <vt:lpwstr>Microbiological Research</vt:lpwstr>
  </property>
  <property fmtid="{D5CDD505-2E9C-101B-9397-08002B2CF9AE}" pid="21" name="Mendeley Recent Style Id 9_1">
    <vt:lpwstr>http://www.zotero.org/styles/modern-humanities-research-association</vt:lpwstr>
  </property>
  <property fmtid="{D5CDD505-2E9C-101B-9397-08002B2CF9AE}" pid="22" name="Mendeley Recent Style Name 9_1">
    <vt:lpwstr>Modern Humanities Research Association 3rd edition (note with bibliography)</vt:lpwstr>
  </property>
  <property fmtid="{D5CDD505-2E9C-101B-9397-08002B2CF9AE}" pid="23" name="Mendeley Citation Style_1">
    <vt:lpwstr>http://www.zotero.org/styles/harvard1</vt:lpwstr>
  </property>
  <property fmtid="{D5CDD505-2E9C-101B-9397-08002B2CF9AE}" pid="24" name="Mendeley Document_1">
    <vt:lpwstr>True</vt:lpwstr>
  </property>
  <property fmtid="{D5CDD505-2E9C-101B-9397-08002B2CF9AE}" pid="25" name="Mendeley Unique User Id_1">
    <vt:lpwstr>69c7717b-ca3e-3214-85dc-a2bfdfa9e4ce</vt:lpwstr>
  </property>
</Properties>
</file>