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4B9" w:rsidRPr="00DA0A98" w:rsidRDefault="00DA0A98" w:rsidP="00DA0A98">
      <w:pPr>
        <w:jc w:val="center"/>
        <w:rPr>
          <w:b/>
          <w:sz w:val="44"/>
          <w:u w:val="single"/>
        </w:rPr>
      </w:pPr>
      <w:r w:rsidRPr="00DA0A98">
        <w:rPr>
          <w:b/>
          <w:sz w:val="44"/>
          <w:u w:val="single"/>
        </w:rPr>
        <w:t xml:space="preserve">EWCTI2018 – Associated </w:t>
      </w:r>
      <w:r w:rsidR="006D2F49">
        <w:rPr>
          <w:b/>
          <w:sz w:val="44"/>
          <w:u w:val="single"/>
        </w:rPr>
        <w:t xml:space="preserve">Institutes &amp; </w:t>
      </w:r>
      <w:r w:rsidR="006D2F49" w:rsidRPr="00DA0A98">
        <w:rPr>
          <w:b/>
          <w:sz w:val="44"/>
          <w:u w:val="single"/>
        </w:rPr>
        <w:t>Organizations</w:t>
      </w:r>
    </w:p>
    <w:p w:rsidR="00DA0A98" w:rsidRDefault="00DA0A98" w:rsidP="00DA0A98">
      <w:pPr>
        <w:jc w:val="center"/>
      </w:pPr>
      <w:r>
        <w:rPr>
          <w:noProof/>
        </w:rPr>
        <w:drawing>
          <wp:inline distT="0" distB="0" distL="0" distR="0">
            <wp:extent cx="1476375" cy="1442821"/>
            <wp:effectExtent l="19050" t="0" r="9525" b="0"/>
            <wp:docPr id="1" name="Picture 1" descr="Image result for AIC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AICTE"/>
                    <pic:cNvPicPr>
                      <a:picLocks noChangeAspect="1" noChangeArrowheads="1"/>
                    </pic:cNvPicPr>
                  </pic:nvPicPr>
                  <pic:blipFill>
                    <a:blip r:embed="rId5"/>
                    <a:srcRect/>
                    <a:stretch>
                      <a:fillRect/>
                    </a:stretch>
                  </pic:blipFill>
                  <pic:spPr bwMode="auto">
                    <a:xfrm>
                      <a:off x="0" y="0"/>
                      <a:ext cx="1476375" cy="1442821"/>
                    </a:xfrm>
                    <a:prstGeom prst="rect">
                      <a:avLst/>
                    </a:prstGeom>
                    <a:noFill/>
                    <a:ln w="9525">
                      <a:noFill/>
                      <a:miter lim="800000"/>
                      <a:headEnd/>
                      <a:tailEnd/>
                    </a:ln>
                  </pic:spPr>
                </pic:pic>
              </a:graphicData>
            </a:graphic>
          </wp:inline>
        </w:drawing>
      </w:r>
    </w:p>
    <w:p w:rsidR="00DA0A98" w:rsidRDefault="00DA0A98" w:rsidP="00DA0A98">
      <w:pPr>
        <w:jc w:val="center"/>
        <w:rPr>
          <w:b/>
          <w:sz w:val="32"/>
        </w:rPr>
      </w:pPr>
      <w:r w:rsidRPr="00DA0A98">
        <w:rPr>
          <w:b/>
          <w:sz w:val="32"/>
        </w:rPr>
        <w:t>All India Council for Technical Education</w:t>
      </w:r>
      <w:r w:rsidR="00706DE9">
        <w:rPr>
          <w:b/>
          <w:sz w:val="32"/>
        </w:rPr>
        <w:t xml:space="preserve"> (AICTE)</w:t>
      </w:r>
    </w:p>
    <w:p w:rsidR="00DA0A98" w:rsidRDefault="00FD5A32" w:rsidP="00DA0A98">
      <w:pPr>
        <w:jc w:val="center"/>
        <w:rPr>
          <w:b/>
          <w:sz w:val="32"/>
        </w:rPr>
      </w:pPr>
      <w:r>
        <w:rPr>
          <w:noProof/>
        </w:rPr>
        <w:drawing>
          <wp:inline distT="0" distB="0" distL="0" distR="0">
            <wp:extent cx="1247775" cy="1247775"/>
            <wp:effectExtent l="19050" t="0" r="9525" b="0"/>
            <wp:docPr id="4" name="Picture 4" descr="Image result for association of indian univers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association of indian universities"/>
                    <pic:cNvPicPr>
                      <a:picLocks noChangeAspect="1" noChangeArrowheads="1"/>
                    </pic:cNvPicPr>
                  </pic:nvPicPr>
                  <pic:blipFill>
                    <a:blip r:embed="rId6"/>
                    <a:srcRect/>
                    <a:stretch>
                      <a:fillRect/>
                    </a:stretch>
                  </pic:blipFill>
                  <pic:spPr bwMode="auto">
                    <a:xfrm>
                      <a:off x="0" y="0"/>
                      <a:ext cx="1247775" cy="1247775"/>
                    </a:xfrm>
                    <a:prstGeom prst="rect">
                      <a:avLst/>
                    </a:prstGeom>
                    <a:noFill/>
                    <a:ln w="9525">
                      <a:noFill/>
                      <a:miter lim="800000"/>
                      <a:headEnd/>
                      <a:tailEnd/>
                    </a:ln>
                  </pic:spPr>
                </pic:pic>
              </a:graphicData>
            </a:graphic>
          </wp:inline>
        </w:drawing>
      </w:r>
    </w:p>
    <w:p w:rsidR="00FD5A32" w:rsidRDefault="00FD5A32" w:rsidP="00DA0A98">
      <w:pPr>
        <w:jc w:val="center"/>
        <w:rPr>
          <w:b/>
          <w:sz w:val="32"/>
        </w:rPr>
      </w:pPr>
      <w:r>
        <w:rPr>
          <w:b/>
          <w:sz w:val="32"/>
        </w:rPr>
        <w:t>Association of Indian Universities</w:t>
      </w:r>
      <w:r w:rsidR="00706DE9">
        <w:rPr>
          <w:b/>
          <w:sz w:val="32"/>
        </w:rPr>
        <w:t xml:space="preserve"> (AIU)</w:t>
      </w:r>
    </w:p>
    <w:p w:rsidR="00FD5A32" w:rsidRDefault="00F543FF" w:rsidP="00DA0A98">
      <w:pPr>
        <w:jc w:val="center"/>
        <w:rPr>
          <w:b/>
          <w:sz w:val="32"/>
        </w:rPr>
      </w:pPr>
      <w:r>
        <w:rPr>
          <w:b/>
          <w:noProof/>
          <w:sz w:val="32"/>
        </w:rPr>
        <w:drawing>
          <wp:inline distT="0" distB="0" distL="0" distR="0">
            <wp:extent cx="1114425" cy="1114425"/>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srcRect/>
                    <a:stretch>
                      <a:fillRect/>
                    </a:stretch>
                  </pic:blipFill>
                  <pic:spPr bwMode="auto">
                    <a:xfrm>
                      <a:off x="0" y="0"/>
                      <a:ext cx="1114425" cy="1114425"/>
                    </a:xfrm>
                    <a:prstGeom prst="rect">
                      <a:avLst/>
                    </a:prstGeom>
                    <a:noFill/>
                    <a:ln w="9525">
                      <a:noFill/>
                      <a:miter lim="800000"/>
                      <a:headEnd/>
                      <a:tailEnd/>
                    </a:ln>
                  </pic:spPr>
                </pic:pic>
              </a:graphicData>
            </a:graphic>
          </wp:inline>
        </w:drawing>
      </w:r>
    </w:p>
    <w:p w:rsidR="00F543FF" w:rsidRDefault="00F543FF" w:rsidP="00DA0A98">
      <w:pPr>
        <w:jc w:val="center"/>
        <w:rPr>
          <w:b/>
          <w:sz w:val="32"/>
        </w:rPr>
      </w:pPr>
      <w:r>
        <w:rPr>
          <w:b/>
          <w:sz w:val="32"/>
        </w:rPr>
        <w:t>Telangana State Council of Higher Education</w:t>
      </w:r>
      <w:r w:rsidR="007F7369">
        <w:rPr>
          <w:b/>
          <w:sz w:val="32"/>
        </w:rPr>
        <w:t xml:space="preserve"> (TSCHE)</w:t>
      </w:r>
    </w:p>
    <w:p w:rsidR="00F543FF" w:rsidRDefault="008F3CDD" w:rsidP="00DA0A98">
      <w:pPr>
        <w:jc w:val="center"/>
        <w:rPr>
          <w:b/>
          <w:sz w:val="32"/>
        </w:rPr>
      </w:pPr>
      <w:r>
        <w:rPr>
          <w:b/>
          <w:noProof/>
          <w:sz w:val="32"/>
        </w:rPr>
        <w:drawing>
          <wp:inline distT="0" distB="0" distL="0" distR="0">
            <wp:extent cx="1533525" cy="1314450"/>
            <wp:effectExtent l="1905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srcRect/>
                    <a:stretch>
                      <a:fillRect/>
                    </a:stretch>
                  </pic:blipFill>
                  <pic:spPr bwMode="auto">
                    <a:xfrm>
                      <a:off x="0" y="0"/>
                      <a:ext cx="1533525" cy="1314450"/>
                    </a:xfrm>
                    <a:prstGeom prst="rect">
                      <a:avLst/>
                    </a:prstGeom>
                    <a:noFill/>
                    <a:ln w="9525">
                      <a:noFill/>
                      <a:miter lim="800000"/>
                      <a:headEnd/>
                      <a:tailEnd/>
                    </a:ln>
                  </pic:spPr>
                </pic:pic>
              </a:graphicData>
            </a:graphic>
          </wp:inline>
        </w:drawing>
      </w:r>
    </w:p>
    <w:p w:rsidR="008F3CDD" w:rsidRDefault="008F3CDD" w:rsidP="00DA0A98">
      <w:pPr>
        <w:jc w:val="center"/>
        <w:rPr>
          <w:b/>
          <w:sz w:val="32"/>
        </w:rPr>
      </w:pPr>
      <w:r>
        <w:rPr>
          <w:b/>
          <w:sz w:val="32"/>
        </w:rPr>
        <w:t xml:space="preserve">Andhra Pradesh </w:t>
      </w:r>
      <w:r w:rsidR="007F7369">
        <w:rPr>
          <w:b/>
          <w:sz w:val="32"/>
        </w:rPr>
        <w:t xml:space="preserve">State </w:t>
      </w:r>
      <w:r>
        <w:rPr>
          <w:b/>
          <w:sz w:val="32"/>
        </w:rPr>
        <w:t>Council of Higher Education</w:t>
      </w:r>
      <w:r w:rsidR="007F7369">
        <w:rPr>
          <w:b/>
          <w:sz w:val="32"/>
        </w:rPr>
        <w:t xml:space="preserve"> (APSCHE)</w:t>
      </w:r>
    </w:p>
    <w:p w:rsidR="00A16811" w:rsidRDefault="00A16811" w:rsidP="00DA0A98">
      <w:pPr>
        <w:jc w:val="center"/>
        <w:rPr>
          <w:b/>
          <w:sz w:val="32"/>
        </w:rPr>
      </w:pPr>
    </w:p>
    <w:p w:rsidR="00A16811" w:rsidRPr="00A16811" w:rsidRDefault="00A16811" w:rsidP="00A16811">
      <w:pPr>
        <w:jc w:val="both"/>
        <w:rPr>
          <w:b/>
          <w:sz w:val="32"/>
          <w:u w:val="single"/>
        </w:rPr>
      </w:pPr>
      <w:r w:rsidRPr="00A16811">
        <w:rPr>
          <w:b/>
          <w:sz w:val="32"/>
          <w:u w:val="single"/>
        </w:rPr>
        <w:lastRenderedPageBreak/>
        <w:t>All India Council for Technical Education</w:t>
      </w:r>
      <w:r w:rsidR="00706DE9">
        <w:rPr>
          <w:b/>
          <w:sz w:val="32"/>
          <w:u w:val="single"/>
        </w:rPr>
        <w:t xml:space="preserve"> (AICTE)</w:t>
      </w:r>
    </w:p>
    <w:p w:rsidR="009F229B" w:rsidRDefault="009F229B" w:rsidP="009F229B">
      <w:pPr>
        <w:jc w:val="both"/>
        <w:rPr>
          <w:rFonts w:ascii="Arial" w:hAnsi="Arial" w:cs="Arial"/>
          <w:color w:val="303030"/>
          <w:sz w:val="24"/>
          <w:szCs w:val="24"/>
          <w:shd w:val="clear" w:color="auto" w:fill="FFFFFF"/>
        </w:rPr>
      </w:pPr>
      <w:r w:rsidRPr="009F229B">
        <w:rPr>
          <w:rFonts w:ascii="Arial" w:hAnsi="Arial" w:cs="Arial"/>
          <w:color w:val="303030"/>
          <w:sz w:val="24"/>
          <w:szCs w:val="24"/>
          <w:shd w:val="clear" w:color="auto" w:fill="FFFFFF"/>
        </w:rPr>
        <w:t>All India Council for Technical Education (AICTE) was set up in November 1945 as a national-level apex advisory body to conduct a survey on the facilities available for technical education and to promote development in the country in a coordinated and integrated manner. And to ensure the same, as stipulated in the National Policy of Education (1986), AICTE was vested with:</w:t>
      </w:r>
    </w:p>
    <w:p w:rsidR="009F229B" w:rsidRPr="009F229B" w:rsidRDefault="009F229B" w:rsidP="009F229B">
      <w:pPr>
        <w:pStyle w:val="ListParagraph"/>
        <w:numPr>
          <w:ilvl w:val="0"/>
          <w:numId w:val="1"/>
        </w:numPr>
        <w:rPr>
          <w:rFonts w:ascii="Arial" w:hAnsi="Arial" w:cs="Arial"/>
          <w:b/>
          <w:sz w:val="24"/>
          <w:szCs w:val="24"/>
        </w:rPr>
      </w:pPr>
      <w:r w:rsidRPr="009F229B">
        <w:rPr>
          <w:rFonts w:ascii="Arial" w:hAnsi="Arial" w:cs="Arial"/>
          <w:color w:val="303030"/>
          <w:sz w:val="24"/>
          <w:szCs w:val="24"/>
          <w:shd w:val="clear" w:color="auto" w:fill="FFFFFF"/>
        </w:rPr>
        <w:t>Statutory authority for planning, formulation, and maintenance of norms &amp; standards</w:t>
      </w:r>
    </w:p>
    <w:p w:rsidR="009F229B" w:rsidRPr="009F229B" w:rsidRDefault="009F229B" w:rsidP="009F229B">
      <w:pPr>
        <w:pStyle w:val="ListParagraph"/>
        <w:numPr>
          <w:ilvl w:val="0"/>
          <w:numId w:val="1"/>
        </w:numPr>
        <w:rPr>
          <w:rFonts w:ascii="Arial" w:hAnsi="Arial" w:cs="Arial"/>
          <w:b/>
          <w:sz w:val="24"/>
          <w:szCs w:val="24"/>
        </w:rPr>
      </w:pPr>
      <w:r w:rsidRPr="009F229B">
        <w:rPr>
          <w:rFonts w:ascii="Arial" w:hAnsi="Arial" w:cs="Arial"/>
          <w:color w:val="303030"/>
          <w:sz w:val="24"/>
          <w:szCs w:val="24"/>
          <w:shd w:val="clear" w:color="auto" w:fill="FFFFFF"/>
        </w:rPr>
        <w:t>Quality assurance through accreditation</w:t>
      </w:r>
    </w:p>
    <w:p w:rsidR="009F229B" w:rsidRPr="009F229B" w:rsidRDefault="009F229B" w:rsidP="009F229B">
      <w:pPr>
        <w:pStyle w:val="ListParagraph"/>
        <w:numPr>
          <w:ilvl w:val="0"/>
          <w:numId w:val="1"/>
        </w:numPr>
        <w:rPr>
          <w:rFonts w:ascii="Arial" w:hAnsi="Arial" w:cs="Arial"/>
          <w:b/>
          <w:sz w:val="24"/>
          <w:szCs w:val="24"/>
        </w:rPr>
      </w:pPr>
      <w:r w:rsidRPr="009F229B">
        <w:rPr>
          <w:rFonts w:ascii="Arial" w:hAnsi="Arial" w:cs="Arial"/>
          <w:color w:val="303030"/>
          <w:sz w:val="24"/>
          <w:szCs w:val="24"/>
          <w:shd w:val="clear" w:color="auto" w:fill="FFFFFF"/>
        </w:rPr>
        <w:t>Funding in priority areas, monitoring, and evaluation</w:t>
      </w:r>
    </w:p>
    <w:p w:rsidR="009F229B" w:rsidRPr="009F229B" w:rsidRDefault="009F229B" w:rsidP="009F229B">
      <w:pPr>
        <w:pStyle w:val="ListParagraph"/>
        <w:numPr>
          <w:ilvl w:val="0"/>
          <w:numId w:val="1"/>
        </w:numPr>
        <w:rPr>
          <w:rFonts w:ascii="Arial" w:hAnsi="Arial" w:cs="Arial"/>
          <w:b/>
          <w:sz w:val="24"/>
          <w:szCs w:val="24"/>
        </w:rPr>
      </w:pPr>
      <w:r w:rsidRPr="009F229B">
        <w:rPr>
          <w:rFonts w:ascii="Arial" w:hAnsi="Arial" w:cs="Arial"/>
          <w:color w:val="303030"/>
          <w:sz w:val="24"/>
          <w:szCs w:val="24"/>
          <w:shd w:val="clear" w:color="auto" w:fill="FFFFFF"/>
        </w:rPr>
        <w:t>Maintaining parity of certification &amp; awards</w:t>
      </w:r>
    </w:p>
    <w:p w:rsidR="00A16811" w:rsidRPr="009F229B" w:rsidRDefault="009F229B" w:rsidP="009F229B">
      <w:pPr>
        <w:pStyle w:val="ListParagraph"/>
        <w:numPr>
          <w:ilvl w:val="0"/>
          <w:numId w:val="1"/>
        </w:numPr>
        <w:rPr>
          <w:rFonts w:ascii="Arial" w:hAnsi="Arial" w:cs="Arial"/>
          <w:b/>
          <w:sz w:val="24"/>
          <w:szCs w:val="24"/>
        </w:rPr>
      </w:pPr>
      <w:r w:rsidRPr="009F229B">
        <w:rPr>
          <w:rFonts w:ascii="Arial" w:hAnsi="Arial" w:cs="Arial"/>
          <w:color w:val="303030"/>
          <w:sz w:val="24"/>
          <w:szCs w:val="24"/>
          <w:shd w:val="clear" w:color="auto" w:fill="FFFFFF"/>
        </w:rPr>
        <w:t>The management of technical education in the country </w:t>
      </w:r>
    </w:p>
    <w:p w:rsidR="007F7369" w:rsidRDefault="00685F4D" w:rsidP="00A16811">
      <w:pPr>
        <w:jc w:val="both"/>
        <w:rPr>
          <w:b/>
          <w:sz w:val="24"/>
        </w:rPr>
      </w:pPr>
      <w:r>
        <w:rPr>
          <w:b/>
          <w:sz w:val="24"/>
        </w:rPr>
        <w:t xml:space="preserve">More details at: </w:t>
      </w:r>
      <w:hyperlink r:id="rId9" w:history="1">
        <w:r w:rsidRPr="00A65528">
          <w:rPr>
            <w:rStyle w:val="Hyperlink"/>
            <w:b/>
            <w:sz w:val="24"/>
          </w:rPr>
          <w:t>https://www.aicte-india.org/</w:t>
        </w:r>
      </w:hyperlink>
    </w:p>
    <w:p w:rsidR="00706DE9" w:rsidRPr="00706DE9" w:rsidRDefault="00706DE9" w:rsidP="00706DE9">
      <w:pPr>
        <w:jc w:val="both"/>
        <w:rPr>
          <w:b/>
          <w:u w:val="single"/>
        </w:rPr>
      </w:pPr>
    </w:p>
    <w:p w:rsidR="00706DE9" w:rsidRPr="00706DE9" w:rsidRDefault="00706DE9" w:rsidP="00706DE9">
      <w:pPr>
        <w:jc w:val="both"/>
        <w:rPr>
          <w:b/>
          <w:sz w:val="32"/>
          <w:u w:val="single"/>
        </w:rPr>
      </w:pPr>
      <w:r w:rsidRPr="00706DE9">
        <w:rPr>
          <w:b/>
          <w:sz w:val="32"/>
          <w:u w:val="single"/>
        </w:rPr>
        <w:t>Association of Indian Universities (AIU)</w:t>
      </w:r>
    </w:p>
    <w:p w:rsidR="00685F4D" w:rsidRDefault="001B1696" w:rsidP="00A16811">
      <w:pPr>
        <w:jc w:val="both"/>
        <w:rPr>
          <w:b/>
          <w:sz w:val="24"/>
        </w:rPr>
      </w:pPr>
      <w:r>
        <w:rPr>
          <w:rFonts w:ascii="Verdana" w:hAnsi="Verdana"/>
          <w:color w:val="000000"/>
          <w:shd w:val="clear" w:color="auto" w:fill="FFFFFF"/>
        </w:rPr>
        <w:t xml:space="preserve">The idea of bringing together all the universities on a common platform emerged from the deliberations of a Conference of the Vice Chancellors of Universities convened by Lord Reading, the then Viceroy of India at Shimla in 1924. The Inter-University Board (IUB) of India was subsequently formed on March 23, 1925, with the view of promoting university activities, especially by way of sharing information and co-operation in the field of education, culture, sports and allied areas. The Inter-University Board acquired a legal status with its registration in 1967 as a Society under the Societies Registration Act, 1860. In 1973, it assumed its present name: The Association of Indian Universities (AIU). The membership includes traditional universities, open universities, professional universities, Institutes of National Importance and deemed-to-be universities. In addition, there is a provision of granting of Associate Membership to universities of </w:t>
      </w:r>
      <w:r>
        <w:rPr>
          <w:rFonts w:ascii="Verdana" w:hAnsi="Verdana"/>
          <w:color w:val="000000"/>
          <w:shd w:val="clear" w:color="auto" w:fill="FFFFFF"/>
        </w:rPr>
        <w:t>neighboring</w:t>
      </w:r>
      <w:r>
        <w:rPr>
          <w:rFonts w:ascii="Verdana" w:hAnsi="Verdana"/>
          <w:color w:val="000000"/>
          <w:shd w:val="clear" w:color="auto" w:fill="FFFFFF"/>
        </w:rPr>
        <w:t xml:space="preserve"> countries.</w:t>
      </w:r>
    </w:p>
    <w:p w:rsidR="001B1696" w:rsidRPr="001B1696" w:rsidRDefault="001B1696" w:rsidP="001B1696">
      <w:pPr>
        <w:shd w:val="clear" w:color="auto" w:fill="FFFFFF"/>
        <w:spacing w:line="240" w:lineRule="atLeast"/>
        <w:rPr>
          <w:rFonts w:ascii="Arial" w:eastAsia="Times New Roman" w:hAnsi="Arial" w:cs="Arial"/>
          <w:color w:val="808080"/>
          <w:sz w:val="24"/>
          <w:szCs w:val="24"/>
        </w:rPr>
      </w:pPr>
      <w:r>
        <w:rPr>
          <w:b/>
          <w:sz w:val="24"/>
        </w:rPr>
        <w:t xml:space="preserve">More details at: </w:t>
      </w:r>
      <w:hyperlink r:id="rId10" w:history="1">
        <w:r w:rsidRPr="001D0413">
          <w:rPr>
            <w:rStyle w:val="Hyperlink"/>
            <w:rFonts w:ascii="Arial" w:eastAsia="Times New Roman" w:hAnsi="Arial" w:cs="Arial"/>
            <w:sz w:val="21"/>
            <w:szCs w:val="21"/>
          </w:rPr>
          <w:t>www.aiu.ac.in/</w:t>
        </w:r>
      </w:hyperlink>
      <w:r>
        <w:rPr>
          <w:rFonts w:ascii="Arial" w:eastAsia="Times New Roman" w:hAnsi="Arial" w:cs="Arial"/>
          <w:color w:val="808080"/>
          <w:sz w:val="24"/>
          <w:szCs w:val="24"/>
        </w:rPr>
        <w:t xml:space="preserve"> </w:t>
      </w:r>
    </w:p>
    <w:p w:rsidR="0013038A" w:rsidRDefault="0013038A" w:rsidP="007F7369">
      <w:pPr>
        <w:rPr>
          <w:b/>
          <w:sz w:val="32"/>
          <w:u w:val="single"/>
        </w:rPr>
      </w:pPr>
    </w:p>
    <w:p w:rsidR="0013038A" w:rsidRDefault="0013038A" w:rsidP="007F7369">
      <w:pPr>
        <w:rPr>
          <w:b/>
          <w:sz w:val="32"/>
          <w:u w:val="single"/>
        </w:rPr>
      </w:pPr>
    </w:p>
    <w:p w:rsidR="0013038A" w:rsidRDefault="0013038A" w:rsidP="007F7369">
      <w:pPr>
        <w:rPr>
          <w:b/>
          <w:sz w:val="32"/>
          <w:u w:val="single"/>
        </w:rPr>
      </w:pPr>
    </w:p>
    <w:p w:rsidR="0013038A" w:rsidRDefault="0013038A" w:rsidP="007F7369">
      <w:pPr>
        <w:rPr>
          <w:b/>
          <w:sz w:val="32"/>
          <w:u w:val="single"/>
        </w:rPr>
      </w:pPr>
    </w:p>
    <w:p w:rsidR="0013038A" w:rsidRPr="0013038A" w:rsidRDefault="0013038A" w:rsidP="0013038A">
      <w:pPr>
        <w:rPr>
          <w:b/>
          <w:sz w:val="32"/>
          <w:u w:val="single"/>
        </w:rPr>
      </w:pPr>
      <w:proofErr w:type="spellStart"/>
      <w:r w:rsidRPr="0013038A">
        <w:rPr>
          <w:b/>
          <w:sz w:val="32"/>
          <w:u w:val="single"/>
        </w:rPr>
        <w:lastRenderedPageBreak/>
        <w:t>Telangana</w:t>
      </w:r>
      <w:proofErr w:type="spellEnd"/>
      <w:r w:rsidRPr="0013038A">
        <w:rPr>
          <w:b/>
          <w:sz w:val="32"/>
          <w:u w:val="single"/>
        </w:rPr>
        <w:t xml:space="preserve"> State Council of Higher Education (TSCHE)</w:t>
      </w:r>
    </w:p>
    <w:p w:rsidR="0013038A" w:rsidRDefault="00845CB4" w:rsidP="007F7369">
      <w:pPr>
        <w:rPr>
          <w:b/>
          <w:sz w:val="32"/>
          <w:u w:val="single"/>
        </w:rPr>
      </w:pPr>
      <w:r>
        <w:rPr>
          <w:noProof/>
        </w:rPr>
        <w:drawing>
          <wp:inline distT="0" distB="0" distL="0" distR="0" wp14:anchorId="5C8CBE2A" wp14:editId="0D093349">
            <wp:extent cx="5943600" cy="2061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61210"/>
                    </a:xfrm>
                    <a:prstGeom prst="rect">
                      <a:avLst/>
                    </a:prstGeom>
                  </pic:spPr>
                </pic:pic>
              </a:graphicData>
            </a:graphic>
          </wp:inline>
        </w:drawing>
      </w:r>
      <w:bookmarkStart w:id="0" w:name="_GoBack"/>
      <w:bookmarkEnd w:id="0"/>
    </w:p>
    <w:p w:rsidR="0014422B" w:rsidRDefault="0014422B" w:rsidP="007F7369">
      <w:pPr>
        <w:rPr>
          <w:b/>
          <w:sz w:val="32"/>
          <w:u w:val="single"/>
        </w:rPr>
      </w:pPr>
      <w:r w:rsidRPr="0014422B">
        <w:rPr>
          <w:b/>
          <w:sz w:val="24"/>
        </w:rPr>
        <w:t>More details at:</w:t>
      </w:r>
      <w:r>
        <w:rPr>
          <w:b/>
          <w:sz w:val="32"/>
          <w:u w:val="single"/>
        </w:rPr>
        <w:t xml:space="preserve"> </w:t>
      </w:r>
      <w:hyperlink r:id="rId12" w:history="1">
        <w:r w:rsidRPr="001D0413">
          <w:rPr>
            <w:rStyle w:val="Hyperlink"/>
            <w:rFonts w:ascii="Arial" w:hAnsi="Arial" w:cs="Arial"/>
            <w:sz w:val="21"/>
            <w:szCs w:val="21"/>
            <w:shd w:val="clear" w:color="auto" w:fill="FFFFFF"/>
          </w:rPr>
          <w:t>https://www.tsche.ac.in/</w:t>
        </w:r>
      </w:hyperlink>
      <w:r>
        <w:rPr>
          <w:rFonts w:ascii="Arial" w:hAnsi="Arial" w:cs="Arial"/>
          <w:color w:val="006621"/>
          <w:sz w:val="21"/>
          <w:szCs w:val="21"/>
          <w:shd w:val="clear" w:color="auto" w:fill="FFFFFF"/>
        </w:rPr>
        <w:t xml:space="preserve"> </w:t>
      </w:r>
    </w:p>
    <w:p w:rsidR="007F7369" w:rsidRPr="006D1BB7" w:rsidRDefault="007F7369" w:rsidP="007F7369">
      <w:pPr>
        <w:rPr>
          <w:b/>
          <w:sz w:val="32"/>
          <w:u w:val="single"/>
        </w:rPr>
      </w:pPr>
      <w:r w:rsidRPr="006D1BB7">
        <w:rPr>
          <w:b/>
          <w:sz w:val="32"/>
          <w:u w:val="single"/>
        </w:rPr>
        <w:t>Andhra Pradesh State Council of Higher Education (APSCHE)</w:t>
      </w:r>
    </w:p>
    <w:p w:rsidR="00530CE6" w:rsidRDefault="006D1BB7" w:rsidP="00A16811">
      <w:pPr>
        <w:jc w:val="both"/>
        <w:rPr>
          <w:rFonts w:ascii="Arial" w:hAnsi="Arial" w:cs="Arial"/>
          <w:color w:val="333333"/>
          <w:sz w:val="24"/>
          <w:szCs w:val="21"/>
          <w:shd w:val="clear" w:color="auto" w:fill="F8F8F8"/>
        </w:rPr>
      </w:pPr>
      <w:r w:rsidRPr="006D1BB7">
        <w:rPr>
          <w:rFonts w:ascii="Arial" w:hAnsi="Arial" w:cs="Arial"/>
          <w:color w:val="333333"/>
          <w:sz w:val="24"/>
          <w:szCs w:val="21"/>
          <w:shd w:val="clear" w:color="auto" w:fill="F8F8F8"/>
        </w:rPr>
        <w:t>T</w:t>
      </w:r>
      <w:r w:rsidR="007F7369" w:rsidRPr="006D1BB7">
        <w:rPr>
          <w:rFonts w:ascii="Arial" w:hAnsi="Arial" w:cs="Arial"/>
          <w:color w:val="333333"/>
          <w:sz w:val="24"/>
          <w:szCs w:val="21"/>
          <w:shd w:val="clear" w:color="auto" w:fill="F8F8F8"/>
        </w:rPr>
        <w:t>he A P State Council of Higher Education (APSCHE) came</w:t>
      </w:r>
      <w:r w:rsidRPr="006D1BB7">
        <w:rPr>
          <w:rFonts w:ascii="Arial" w:hAnsi="Arial" w:cs="Arial"/>
          <w:color w:val="333333"/>
          <w:sz w:val="24"/>
          <w:szCs w:val="21"/>
          <w:shd w:val="clear" w:color="auto" w:fill="F8F8F8"/>
        </w:rPr>
        <w:t xml:space="preserve"> </w:t>
      </w:r>
      <w:r w:rsidR="007F7369" w:rsidRPr="006D1BB7">
        <w:rPr>
          <w:rFonts w:ascii="Arial" w:hAnsi="Arial" w:cs="Arial"/>
          <w:color w:val="333333"/>
          <w:sz w:val="24"/>
          <w:szCs w:val="21"/>
          <w:shd w:val="clear" w:color="auto" w:fill="F8F8F8"/>
        </w:rPr>
        <w:t xml:space="preserve">into existence </w:t>
      </w:r>
      <w:proofErr w:type="spellStart"/>
      <w:r w:rsidR="007F7369" w:rsidRPr="006D1BB7">
        <w:rPr>
          <w:rFonts w:ascii="Arial" w:hAnsi="Arial" w:cs="Arial"/>
          <w:color w:val="333333"/>
          <w:sz w:val="24"/>
          <w:szCs w:val="21"/>
          <w:shd w:val="clear" w:color="auto" w:fill="F8F8F8"/>
        </w:rPr>
        <w:t>w.e.f</w:t>
      </w:r>
      <w:proofErr w:type="spellEnd"/>
      <w:r w:rsidR="007F7369" w:rsidRPr="006D1BB7">
        <w:rPr>
          <w:rFonts w:ascii="Arial" w:hAnsi="Arial" w:cs="Arial"/>
          <w:color w:val="333333"/>
          <w:sz w:val="24"/>
          <w:szCs w:val="21"/>
          <w:shd w:val="clear" w:color="auto" w:fill="F8F8F8"/>
        </w:rPr>
        <w:t>. 20.05.1988 through Act 16 of 1988 to advise the Government in matters relating to Higher Education in the State and to oversee its development with perspective planning and for matters connected therewith and incidental thereto.</w:t>
      </w:r>
    </w:p>
    <w:p w:rsidR="007F7369" w:rsidRDefault="007F7369" w:rsidP="00A16811">
      <w:pPr>
        <w:jc w:val="both"/>
        <w:rPr>
          <w:rFonts w:ascii="Arial" w:hAnsi="Arial" w:cs="Arial"/>
          <w:color w:val="333333"/>
          <w:sz w:val="24"/>
          <w:szCs w:val="21"/>
          <w:shd w:val="clear" w:color="auto" w:fill="F8F8F8"/>
        </w:rPr>
      </w:pPr>
      <w:r w:rsidRPr="006D1BB7">
        <w:rPr>
          <w:rFonts w:ascii="Arial" w:hAnsi="Arial" w:cs="Arial"/>
          <w:color w:val="333333"/>
          <w:sz w:val="24"/>
          <w:szCs w:val="21"/>
          <w:shd w:val="clear" w:color="auto" w:fill="F8F8F8"/>
        </w:rPr>
        <w:t>The Andhra Pradesh State Council of Higher Education, the first of its kind in the country, set up as per the recommendations of the National Education Policy 1986, is primarily a coordinating body between the University Grants Commission (UGC), the State Government and the Universities. It is the general duty of the Council to</w:t>
      </w:r>
      <w:r w:rsidR="00530CE6">
        <w:rPr>
          <w:rFonts w:ascii="Arial" w:hAnsi="Arial" w:cs="Arial"/>
          <w:color w:val="333333"/>
          <w:sz w:val="24"/>
          <w:szCs w:val="21"/>
          <w:shd w:val="clear" w:color="auto" w:fill="F8F8F8"/>
        </w:rPr>
        <w:t xml:space="preserve"> </w:t>
      </w:r>
      <w:r w:rsidRPr="006D1BB7">
        <w:rPr>
          <w:rFonts w:ascii="Arial" w:hAnsi="Arial" w:cs="Arial"/>
          <w:color w:val="333333"/>
          <w:sz w:val="24"/>
          <w:szCs w:val="21"/>
          <w:shd w:val="clear" w:color="auto" w:fill="F8F8F8"/>
        </w:rPr>
        <w:t>coordinate and determine standards in institutions of Higher Education, Research, Scientific and Technical Institutions in accordance with the guidelines issued by the University Grants Commission from time to time. The Act 16 of 1988 envisages three</w:t>
      </w:r>
      <w:r w:rsidR="00530CE6">
        <w:rPr>
          <w:rFonts w:ascii="Arial" w:hAnsi="Arial" w:cs="Arial"/>
          <w:color w:val="333333"/>
          <w:sz w:val="24"/>
          <w:szCs w:val="21"/>
          <w:shd w:val="clear" w:color="auto" w:fill="F8F8F8"/>
        </w:rPr>
        <w:t xml:space="preserve"> </w:t>
      </w:r>
      <w:r w:rsidRPr="006D1BB7">
        <w:rPr>
          <w:rFonts w:ascii="Arial" w:hAnsi="Arial" w:cs="Arial"/>
          <w:color w:val="333333"/>
          <w:sz w:val="24"/>
          <w:szCs w:val="21"/>
          <w:shd w:val="clear" w:color="auto" w:fill="F8F8F8"/>
        </w:rPr>
        <w:t>distinct functions (a) Planning and Coordination, (b) Academic Functions and (c) Advisory Functions.</w:t>
      </w:r>
    </w:p>
    <w:p w:rsidR="00476350" w:rsidRDefault="004A4EEC" w:rsidP="00A16811">
      <w:pPr>
        <w:jc w:val="both"/>
        <w:rPr>
          <w:b/>
          <w:sz w:val="32"/>
        </w:rPr>
      </w:pPr>
      <w:r>
        <w:rPr>
          <w:b/>
          <w:sz w:val="32"/>
        </w:rPr>
        <w:t xml:space="preserve">More details at: </w:t>
      </w:r>
      <w:hyperlink r:id="rId13" w:history="1">
        <w:r w:rsidR="00476350" w:rsidRPr="00A65528">
          <w:rPr>
            <w:rStyle w:val="Hyperlink"/>
            <w:b/>
            <w:sz w:val="32"/>
          </w:rPr>
          <w:t>http://www.apsche.org/apsche_new/</w:t>
        </w:r>
      </w:hyperlink>
    </w:p>
    <w:p w:rsidR="004A4EEC" w:rsidRPr="006D1BB7" w:rsidRDefault="004A4EEC" w:rsidP="00A16811">
      <w:pPr>
        <w:jc w:val="both"/>
        <w:rPr>
          <w:b/>
          <w:sz w:val="32"/>
        </w:rPr>
      </w:pPr>
    </w:p>
    <w:sectPr w:rsidR="004A4EEC" w:rsidRPr="006D1BB7" w:rsidSect="00F36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DB7D70"/>
    <w:multiLevelType w:val="hybridMultilevel"/>
    <w:tmpl w:val="29FE3B7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9E950A2"/>
    <w:multiLevelType w:val="hybridMultilevel"/>
    <w:tmpl w:val="CC7651C8"/>
    <w:lvl w:ilvl="0" w:tplc="A8ECFCE0">
      <w:numFmt w:val="bullet"/>
      <w:lvlText w:val="•"/>
      <w:lvlJc w:val="left"/>
      <w:pPr>
        <w:ind w:left="720" w:hanging="360"/>
      </w:pPr>
      <w:rPr>
        <w:rFonts w:ascii="Arial" w:eastAsiaTheme="minorHAnsi" w:hAnsi="Arial" w:cs="Arial" w:hint="default"/>
        <w:b w:val="0"/>
        <w:color w:val="30303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D843D3"/>
    <w:multiLevelType w:val="multilevel"/>
    <w:tmpl w:val="9410A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2"/>
  </w:compat>
  <w:rsids>
    <w:rsidRoot w:val="00DA0A98"/>
    <w:rsid w:val="0013038A"/>
    <w:rsid w:val="0014422B"/>
    <w:rsid w:val="001B1696"/>
    <w:rsid w:val="0022515A"/>
    <w:rsid w:val="00476350"/>
    <w:rsid w:val="00485CFD"/>
    <w:rsid w:val="004A4EEC"/>
    <w:rsid w:val="00530CE6"/>
    <w:rsid w:val="00685F4D"/>
    <w:rsid w:val="006D1BB7"/>
    <w:rsid w:val="006D2F49"/>
    <w:rsid w:val="00706DE9"/>
    <w:rsid w:val="007F7369"/>
    <w:rsid w:val="00845CB4"/>
    <w:rsid w:val="008F3CDD"/>
    <w:rsid w:val="009F229B"/>
    <w:rsid w:val="00A16811"/>
    <w:rsid w:val="00DA0A98"/>
    <w:rsid w:val="00EF2513"/>
    <w:rsid w:val="00F364B9"/>
    <w:rsid w:val="00F543FF"/>
    <w:rsid w:val="00F8074D"/>
    <w:rsid w:val="00FD5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914F45-6C21-4325-9D85-62C6F732C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4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0A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0A98"/>
    <w:rPr>
      <w:rFonts w:ascii="Tahoma" w:hAnsi="Tahoma" w:cs="Tahoma"/>
      <w:sz w:val="16"/>
      <w:szCs w:val="16"/>
    </w:rPr>
  </w:style>
  <w:style w:type="character" w:styleId="Hyperlink">
    <w:name w:val="Hyperlink"/>
    <w:basedOn w:val="DefaultParagraphFont"/>
    <w:uiPriority w:val="99"/>
    <w:unhideWhenUsed/>
    <w:rsid w:val="004A4EEC"/>
    <w:rPr>
      <w:color w:val="0000FF" w:themeColor="hyperlink"/>
      <w:u w:val="single"/>
    </w:rPr>
  </w:style>
  <w:style w:type="paragraph" w:styleId="ListParagraph">
    <w:name w:val="List Paragraph"/>
    <w:basedOn w:val="Normal"/>
    <w:uiPriority w:val="34"/>
    <w:qFormat/>
    <w:rsid w:val="009F229B"/>
    <w:pPr>
      <w:ind w:left="720"/>
      <w:contextualSpacing/>
    </w:pPr>
  </w:style>
  <w:style w:type="character" w:styleId="HTMLCite">
    <w:name w:val="HTML Cite"/>
    <w:basedOn w:val="DefaultParagraphFont"/>
    <w:uiPriority w:val="99"/>
    <w:semiHidden/>
    <w:unhideWhenUsed/>
    <w:rsid w:val="001B169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998907">
      <w:bodyDiv w:val="1"/>
      <w:marLeft w:val="0"/>
      <w:marRight w:val="0"/>
      <w:marTop w:val="0"/>
      <w:marBottom w:val="0"/>
      <w:divBdr>
        <w:top w:val="none" w:sz="0" w:space="0" w:color="auto"/>
        <w:left w:val="none" w:sz="0" w:space="0" w:color="auto"/>
        <w:bottom w:val="none" w:sz="0" w:space="0" w:color="auto"/>
        <w:right w:val="none" w:sz="0" w:space="0" w:color="auto"/>
      </w:divBdr>
      <w:divsChild>
        <w:div w:id="778185795">
          <w:marLeft w:val="45"/>
          <w:marRight w:val="45"/>
          <w:marTop w:val="15"/>
          <w:marBottom w:val="0"/>
          <w:divBdr>
            <w:top w:val="none" w:sz="0" w:space="0" w:color="auto"/>
            <w:left w:val="none" w:sz="0" w:space="0" w:color="auto"/>
            <w:bottom w:val="none" w:sz="0" w:space="0" w:color="auto"/>
            <w:right w:val="none" w:sz="0" w:space="0" w:color="auto"/>
          </w:divBdr>
          <w:divsChild>
            <w:div w:id="97598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apsche.org/apsche_new/"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tsche.ac.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www.aiu.ac.in/" TargetMode="External"/><Relationship Id="rId4" Type="http://schemas.openxmlformats.org/officeDocument/2006/relationships/webSettings" Target="webSettings.xml"/><Relationship Id="rId9" Type="http://schemas.openxmlformats.org/officeDocument/2006/relationships/hyperlink" Target="https://www.aicte-india.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512</Words>
  <Characters>2925</Characters>
  <Application>Microsoft Office Word</Application>
  <DocSecurity>0</DocSecurity>
  <Lines>24</Lines>
  <Paragraphs>6</Paragraphs>
  <ScaleCrop>false</ScaleCrop>
  <Company/>
  <LinksUpToDate>false</LinksUpToDate>
  <CharactersWithSpaces>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CSRK</dc:creator>
  <cp:lastModifiedBy>Admin</cp:lastModifiedBy>
  <cp:revision>22</cp:revision>
  <dcterms:created xsi:type="dcterms:W3CDTF">2018-09-10T19:00:00Z</dcterms:created>
  <dcterms:modified xsi:type="dcterms:W3CDTF">2018-09-14T08:19:00Z</dcterms:modified>
</cp:coreProperties>
</file>