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Университет ИТМО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Мегафакультет компьютерных технологий и управления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Кафедра информатики и прикладной математики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40"/>
          <w:szCs w:val="40"/>
        </w:rPr>
      </w:pPr>
      <w:r w:rsidDel="00000000" w:rsidR="00000000" w:rsidRPr="00000000">
        <w:rPr>
          <w:rFonts w:ascii="Questrial" w:cs="Questrial" w:eastAsia="Questrial" w:hAnsi="Questrial"/>
          <w:sz w:val="40"/>
          <w:szCs w:val="40"/>
          <w:rtl w:val="0"/>
        </w:rPr>
        <w:t xml:space="preserve">Лабораторная работа №5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40"/>
          <w:szCs w:val="40"/>
        </w:rPr>
      </w:pPr>
      <w:r w:rsidDel="00000000" w:rsidR="00000000" w:rsidRPr="00000000">
        <w:rPr>
          <w:rFonts w:ascii="Questrial" w:cs="Questrial" w:eastAsia="Questrial" w:hAnsi="Questrial"/>
          <w:sz w:val="40"/>
          <w:szCs w:val="40"/>
          <w:rtl w:val="0"/>
        </w:rPr>
        <w:t xml:space="preserve">“Основы вычислительной техники”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40"/>
          <w:szCs w:val="40"/>
        </w:rPr>
      </w:pPr>
      <w:r w:rsidDel="00000000" w:rsidR="00000000" w:rsidRPr="00000000">
        <w:rPr>
          <w:rFonts w:ascii="Questrial" w:cs="Questrial" w:eastAsia="Questrial" w:hAnsi="Questrial"/>
          <w:sz w:val="40"/>
          <w:szCs w:val="40"/>
          <w:rtl w:val="0"/>
        </w:rPr>
        <w:t xml:space="preserve">Асинхронный обмен данными с ВУ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40"/>
          <w:szCs w:val="40"/>
        </w:rPr>
      </w:pPr>
      <w:r w:rsidDel="00000000" w:rsidR="00000000" w:rsidRPr="00000000">
        <w:rPr>
          <w:rFonts w:ascii="Questrial" w:cs="Questrial" w:eastAsia="Questrial" w:hAnsi="Questrial"/>
          <w:sz w:val="40"/>
          <w:szCs w:val="40"/>
          <w:rtl w:val="0"/>
        </w:rPr>
        <w:t xml:space="preserve">Вариант 666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6237" w:firstLine="0"/>
        <w:contextualSpacing w:val="0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6237" w:firstLine="0"/>
        <w:contextualSpacing w:val="0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6237" w:firstLine="0"/>
        <w:contextualSpacing w:val="0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6237" w:firstLine="0"/>
        <w:contextualSpacing w:val="0"/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5812" w:firstLine="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Выполнила: студентка группы P3118, Токарева У.Р.</w:t>
      </w:r>
    </w:p>
    <w:p w:rsidR="00000000" w:rsidDel="00000000" w:rsidP="00000000" w:rsidRDefault="00000000" w:rsidRPr="00000000">
      <w:pPr>
        <w:pBdr/>
        <w:spacing w:after="0" w:lineRule="auto"/>
        <w:ind w:left="5812" w:firstLine="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Преподаватель: Перминов И.В.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г. Санкт-Петербург,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2016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color w:val="c00000"/>
          <w:sz w:val="32"/>
          <w:szCs w:val="32"/>
          <w:rtl w:val="0"/>
        </w:rPr>
        <w:t xml:space="preserve">Задание: </w:t>
      </w: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280" w:line="276" w:lineRule="auto"/>
        <w:ind w:left="720" w:hanging="36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Программа осуществляет асинхронный вывод данных на ВУ-3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Программа начинается с адреса 3F1. Размещаемая строка находится по адресу 656. Для реализации чтения или записи строки необходимо использовать индексную ячейку C.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Строка должна быть представлена в кодировке Windows-1251.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Формат представления строки в памяти: АДР1: СИМВ1 СИМВ2 АДР2: СИМВ3 СИМВ4 ... СТОП_СИМВ.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80" w:before="0" w:line="276" w:lineRule="auto"/>
        <w:ind w:left="720" w:hanging="36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Ввод или вывод строки должна быть завершен по символу c кодом 00 (NUL)</w:t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color w:val="c00000"/>
          <w:sz w:val="32"/>
          <w:szCs w:val="32"/>
          <w:rtl w:val="0"/>
        </w:rPr>
        <w:t xml:space="preserve">Текст программы:</w:t>
      </w:r>
    </w:p>
    <w:tbl>
      <w:tblPr>
        <w:tblStyle w:val="Table1"/>
        <w:bidiVisual w:val="0"/>
        <w:tblW w:w="9768.0" w:type="dxa"/>
        <w:jc w:val="left"/>
        <w:tblInd w:w="-4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"/>
        <w:gridCol w:w="1165"/>
        <w:gridCol w:w="1437"/>
        <w:gridCol w:w="6260"/>
        <w:tblGridChange w:id="0">
          <w:tblGrid>
            <w:gridCol w:w="906"/>
            <w:gridCol w:w="1165"/>
            <w:gridCol w:w="1437"/>
            <w:gridCol w:w="626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c00000" w:space="0" w:sz="12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Questrial" w:cs="Questrial" w:eastAsia="Questrial" w:hAnsi="Quest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color w:val="c00000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bottom w:color="c00000" w:space="0" w:sz="12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Questrial" w:cs="Questrial" w:eastAsia="Questrial" w:hAnsi="Quest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color w:val="c00000"/>
                <w:sz w:val="20"/>
                <w:szCs w:val="20"/>
                <w:rtl w:val="0"/>
              </w:rPr>
              <w:t xml:space="preserve">Код команды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c00000" w:space="0" w:sz="12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Questrial" w:cs="Questrial" w:eastAsia="Questrial" w:hAnsi="Quest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color w:val="c00000"/>
                <w:sz w:val="20"/>
                <w:szCs w:val="20"/>
                <w:rtl w:val="0"/>
              </w:rPr>
              <w:t xml:space="preserve">Мнемоника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c00000" w:space="0" w:sz="12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Questrial" w:cs="Questrial" w:eastAsia="Questrial" w:hAnsi="Quest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color w:val="c00000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trHeight w:val="260" w:hRule="atLeast"/>
        </w:trPr>
        <w:tc>
          <w:tcPr>
            <w:tcBorders>
              <w:top w:color="c00000" w:space="0" w:sz="12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00C</w:t>
            </w:r>
          </w:p>
        </w:tc>
        <w:tc>
          <w:tcPr>
            <w:tcBorders>
              <w:top w:color="c00000" w:space="0" w:sz="12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0656</w:t>
            </w:r>
          </w:p>
        </w:tc>
        <w:tc>
          <w:tcPr>
            <w:tcBorders>
              <w:top w:color="c00000" w:space="0" w:sz="12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Указатель на строку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FF00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Для первого символа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00FF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Для второго символа</w:t>
            </w:r>
          </w:p>
        </w:tc>
      </w:tr>
      <w:tr>
        <w:trPr>
          <w:trHeight w:val="260" w:hRule="atLeast"/>
        </w:trPr>
        <w:tc>
          <w:tcPr>
            <w:tcBorders>
              <w:bottom w:color="c00000" w:space="0" w:sz="12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bottom w:color="c00000" w:space="0" w:sz="12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0000" w:space="0" w:sz="12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Два текущих символа</w:t>
            </w:r>
          </w:p>
        </w:tc>
      </w:tr>
      <w:tr>
        <w:trPr>
          <w:trHeight w:val="260" w:hRule="atLeast"/>
        </w:trPr>
        <w:tc>
          <w:tcPr>
            <w:tcBorders>
              <w:top w:color="c00000" w:space="0" w:sz="12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3F1</w:t>
            </w:r>
          </w:p>
        </w:tc>
        <w:tc>
          <w:tcPr>
            <w:tcBorders>
              <w:top w:color="c00000" w:space="0" w:sz="12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F200</w:t>
            </w:r>
          </w:p>
        </w:tc>
        <w:tc>
          <w:tcPr>
            <w:tcBorders>
              <w:top w:color="c00000" w:space="0" w:sz="12" w:val="single"/>
            </w:tcBorders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CLA</w:t>
            </w:r>
          </w:p>
        </w:tc>
        <w:tc>
          <w:tcPr>
            <w:tcBorders>
              <w:top w:color="c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Очистка аккумулятора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410C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ADD (C)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Добавляем следующие два кода символов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3012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MOV 012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Помещаем их в 012 для временного хранения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1010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AND 010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Проверяем код первого символа на равенство коду стоп-символа и в случае успеха заканчиваем работу программы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B40B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BEQ 40B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F700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ROR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Подготавливаем текущий код символа для вывода на экран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F700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ROR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F700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ROR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F700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ROR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F700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ROR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3FB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F700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ROR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3FC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F700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ROR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3FD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F700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ROR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E103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TSF 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Опрос флага контроллера ВУ-3 и повторение этой операции, если ВУ не готово к обмену (флаг = 0)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3FF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C3FE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BR 3FF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E303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OUT 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Пересылка кода символа в РД контроллера ВУ-3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E003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CLF 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Сброс готовности ВУ-3 для предотвращения пересылки кода следующего символа в РД контроллера ВУ-3 до того, как будет нажата кнопка ГОТОВ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F200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CLA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Восстанавливаем код второго символа, проверяем на равенство коду стоп-символа и в случае успеха заканчиваем работу программы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4012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ADD 012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AND 011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B40B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BEQ 40B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E103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TSF 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Опрос флага контроллера ВУ-3 и повторение этой операции, если ВУ не готово к обмену (флаг = 0)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C406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BR 406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E303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OUT 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Пересылка кода символа в РД контроллера ВУ-3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E003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CLF 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Сброс готовности ВУ-3 для предотвращения пересылки кода следующего символа в РД контроллера ВУ-3 до того, как будет нажата кнопка ГОТОВ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C3F1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BR 3F1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Переход к началу программы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40B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HLT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Останов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color w:val="c00000"/>
          <w:sz w:val="32"/>
          <w:szCs w:val="32"/>
          <w:rtl w:val="0"/>
        </w:rPr>
        <w:t xml:space="preserve">Описание программы: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76" w:lineRule="auto"/>
        <w:ind w:left="720" w:hanging="36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Назначение программы: программа осуществляет асинхронный вывод данных на ВУ-3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before="0" w:line="276" w:lineRule="auto"/>
        <w:ind w:left="720" w:hanging="360"/>
        <w:contextualSpacing w:val="1"/>
        <w:jc w:val="both"/>
        <w:rPr>
          <w:rFonts w:ascii="Questrial" w:cs="Questrial" w:eastAsia="Questrial" w:hAnsi="Questrial"/>
          <w:b w:val="0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b w:val="0"/>
          <w:sz w:val="20"/>
          <w:szCs w:val="20"/>
          <w:rtl w:val="0"/>
        </w:rPr>
        <w:t xml:space="preserve">Расположение в памяти ЭВМ программы, исходных данных и результатов</w:t>
      </w:r>
    </w:p>
    <w:tbl>
      <w:tblPr>
        <w:tblStyle w:val="Table2"/>
        <w:bidiVisual w:val="0"/>
        <w:tblW w:w="4804.0" w:type="dxa"/>
        <w:jc w:val="left"/>
        <w:tblInd w:w="6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096"/>
        <w:gridCol w:w="2463"/>
        <w:tblGridChange w:id="0">
          <w:tblGrid>
            <w:gridCol w:w="1245"/>
            <w:gridCol w:w="1096"/>
            <w:gridCol w:w="246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100" w:before="24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Адрес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Содержимое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Описание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00C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656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Указатель на текущие коды символов строки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656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Размещаемая строка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FF00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Маска для первого кода символа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00FF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Маска для второго кода символа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before="0" w:line="259" w:lineRule="auto"/>
              <w:ind w:left="0" w:firstLine="0"/>
              <w:contextualSpacing w:val="0"/>
              <w:jc w:val="both"/>
              <w:rPr>
                <w:rFonts w:ascii="Consolas" w:cs="Consolas" w:eastAsia="Consolas" w:hAnsi="Consolas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16"/>
                <w:szCs w:val="16"/>
                <w:rtl w:val="0"/>
              </w:rPr>
              <w:t xml:space="preserve">Временное хранение текущих двух кодов символов</w:t>
            </w:r>
          </w:p>
        </w:tc>
      </w:tr>
    </w:tbl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76" w:lineRule="auto"/>
        <w:ind w:left="720" w:hanging="36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Строка представлена в кодировке Windows-1251.</w:t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Область допустимых значений для кода символа: 0…2</w:t>
      </w:r>
      <w:r w:rsidDel="00000000" w:rsidR="00000000" w:rsidRPr="00000000">
        <w:rPr>
          <w:rFonts w:ascii="Questrial" w:cs="Questrial" w:eastAsia="Questrial" w:hAnsi="Questrial"/>
          <w:sz w:val="20"/>
          <w:szCs w:val="20"/>
          <w:vertAlign w:val="superscript"/>
          <w:rtl w:val="0"/>
        </w:rPr>
        <w:t xml:space="preserve">8</w:t>
      </w: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-1</w:t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Формат представления строки в памяти: АДР1: СИМВ1 СИМВ2 АДР2: СИМВ3 СИМВ4 ... СТОП_СИМВ. </w:t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Вывод строки завершается по символу c кодом 00 (NUL)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76" w:lineRule="auto"/>
        <w:ind w:left="720" w:hanging="36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Адрес первой исполняемой команды: 3F1;</w:t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Адрес последней исполняемой команды: 40B;</w:t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color w:val="c00000"/>
          <w:sz w:val="32"/>
          <w:szCs w:val="32"/>
          <w:rtl w:val="0"/>
        </w:rPr>
        <w:t xml:space="preserve">Данные:</w:t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color w:val="c00000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color w:val="c00000"/>
          <w:sz w:val="32"/>
          <w:szCs w:val="32"/>
          <w:rtl w:val="0"/>
        </w:rPr>
        <w:t xml:space="preserve">Вывод:</w:t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51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947"/>
        <w:gridCol w:w="947"/>
        <w:gridCol w:w="809"/>
        <w:gridCol w:w="809"/>
        <w:gridCol w:w="809"/>
        <w:gridCol w:w="809"/>
        <w:gridCol w:w="809"/>
        <w:gridCol w:w="809"/>
        <w:gridCol w:w="1185"/>
        <w:gridCol w:w="1418"/>
        <w:tblGridChange w:id="0">
          <w:tblGrid>
            <w:gridCol w:w="947"/>
            <w:gridCol w:w="947"/>
            <w:gridCol w:w="809"/>
            <w:gridCol w:w="809"/>
            <w:gridCol w:w="809"/>
            <w:gridCol w:w="809"/>
            <w:gridCol w:w="809"/>
            <w:gridCol w:w="809"/>
            <w:gridCol w:w="1185"/>
            <w:gridCol w:w="1418"/>
          </w:tblGrid>
        </w:tblGridChange>
      </w:tblGrid>
      <w:tr>
        <w:trPr>
          <w:trHeight w:val="2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Выполняемая команда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Ячейка, содержимое которой изменилось после выполнения команды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Новый код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3FE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E103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3FE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E103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E103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00CB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E303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E303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E303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00CB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00CB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CBDC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CBDC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1011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1011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00FF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00DC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B40B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B40B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B40B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00DC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00DC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E303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E303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E303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00DC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00DC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C3F1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3F1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40A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C3F1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C3F1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00DC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3F1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3F2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3F1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3F2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480C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3F3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56B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480C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3F3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3012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3F4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3012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3F4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1010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БЛА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БЛА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БЛА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Выполняемая команда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Ячейка, содержимое которой изменилось после выполнения команды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Новый код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</w:pPr>
    <w:rPr>
      <w:sz w:val="17"/>
      <w:szCs w:val="17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