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Cashbook bal to Passbook bal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Overdraft/Debit bal as per Passbook to Cashbook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Passbook bal to Cashbook bal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Overdraft/Credit bal as per Cashbook to Passbook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Cashbook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Specimen</w:t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1425"/>
        <w:gridCol w:w="1425"/>
        <w:tblGridChange w:id="0">
          <w:tblGrid>
            <w:gridCol w:w="6510"/>
            <w:gridCol w:w="1425"/>
            <w:gridCol w:w="1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Overdraft or favorable bal as per CB/PB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XXX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ADD: Abbreviations...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Abbreviations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+YYY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LESS:Abbreviations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Abbreviations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YYY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(YYY)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Overdraft or favorable bal as per CB/PB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XXX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Rule:</w:t>
      </w:r>
      <w:r w:rsidDel="00000000" w:rsidR="00000000" w:rsidRPr="00000000">
        <w:rPr>
          <w:sz w:val="28"/>
          <w:szCs w:val="28"/>
          <w:rtl w:val="0"/>
        </w:rPr>
        <w:t xml:space="preserve"> Whatever we have to find out, assume it to be correct.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