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Endocrinologie</w:t>
      </w:r>
    </w:p>
    <w:p>
      <w:r>
        <w:t>Patient : Mme Anne DUBOIS, née le 16/10/1962 (62 ans) — IPP 4100001</w:t>
      </w:r>
    </w:p>
    <w:p>
      <w:r>
        <w:t>Date : 07/07/2025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 DT2 diagnostiqué en 2015, adressé par le médecin traitant pour déséquilibre glycémique.</w:t>
      </w:r>
    </w:p>
    <w:p>
      <w:pPr>
        <w:pStyle w:val="Heading1"/>
      </w:pPr>
      <w:r>
        <w:t>Antécédents</w:t>
      </w:r>
    </w:p>
    <w:p>
      <w:r>
        <w:t>Surpoids. Pas de tabagisme. Pas de rétinopathie connue au dernier fond d'œil.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Metformine 500 mg matin et soir.</w:t>
      </w:r>
    </w:p>
    <w:p>
      <w:pPr>
        <w:pStyle w:val="Heading1"/>
      </w:pPr>
      <w:r>
        <w:t>Examen clinique</w:t>
      </w:r>
    </w:p>
    <w:p>
      <w:r>
        <w:t>Poids 67 kg, taille 165 cm, IMC 24,6 kg/m². Pression artérielle 118/79 mmHg, fréquence cardiaque 91 battements par minute. Examen clinique par ailleurs sans particularité.</w:t>
      </w:r>
    </w:p>
    <w:p>
      <w:pPr>
        <w:pStyle w:val="Heading1"/>
      </w:pPr>
      <w:r>
        <w:t>Conclusion</w:t>
      </w:r>
    </w:p>
    <w:p>
      <w:r>
        <w:t>HbA1c élevée sur le bilan du 30/06/2025, au-dessus de l'objectif fixé à 7 %. Majoration de la metformine à 500 mg matin, midi et soir, au milieu des repas. Conseils diététiques et reprise d'une activité physique régulière.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