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Néphrologie</w:t>
      </w:r>
    </w:p>
    <w:p>
      <w:r>
        <w:t>Patient : M. Bruno MARTIN, né le 16/10/1958 (66 ans) — IPP 4100002</w:t>
      </w:r>
    </w:p>
    <w:p>
      <w:r>
        <w:t>Date : 19/07/2025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Kaliémie contrôlée à 4,8 mmol/L après réduction du ramipril. DFG stable à 30 mL/min. Pression artérielle bien contrôlée.</w:t>
      </w:r>
    </w:p>
    <w:p>
      <w:pPr>
        <w:pStyle w:val="Heading1"/>
      </w:pPr>
      <w:r>
        <w:t>Conduite à tenir</w:t>
      </w:r>
    </w:p>
    <w:p>
      <w:r>
        <w:t>Poursuite du ramipril 5 mg par jour. Surveillance biologique tous les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