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post-opératoire</w:t>
      </w:r>
    </w:p>
    <w:p>
      <w:r>
        <w:t>Centre Hospitalier de Valmont — Service de Chirurgie digestive</w:t>
      </w:r>
    </w:p>
    <w:p>
      <w:r>
        <w:t>Patient : M. Olivier BLANC, né le 07/07/1973 (52 ans) — IPP 4100007</w:t>
      </w:r>
    </w:p>
    <w:p>
      <w:r>
        <w:t>Date : 17/04/2026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Consultation de contrôle après cholécystectomie du 15/03/2026. Cicatrices propres, pas de douleur résiduelle, transit normal.</w:t>
      </w:r>
    </w:p>
    <w:p>
      <w:pPr>
        <w:pStyle w:val="Heading1"/>
      </w:pPr>
      <w:r>
        <w:t>Anatomopathologie</w:t>
      </w:r>
    </w:p>
    <w:p>
      <w:r>
        <w:t>Cholécystite chronique lithiasique, absence de lésion tumorale.</w:t>
      </w:r>
    </w:p>
    <w:p>
      <w:pPr>
        <w:pStyle w:val="Heading1"/>
      </w:pPr>
      <w:r>
        <w:t>Conclusion</w:t>
      </w:r>
    </w:p>
    <w:p>
      <w:r>
        <w:t>Fin du suivi chirurgical. Reprise de toutes les activités autorisée.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post-opératoire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