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Thierry FRANCOIS, né le 14/03/1942 (83 ans) — IPP 4100012</w:t>
      </w:r>
    </w:p>
    <w:p>
      <w:r>
        <w:t>Date : 15/11/2025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6,0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Bicarbonates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22 - 29</w:t>
            </w:r>
          </w:p>
        </w:tc>
      </w:tr>
      <w:tr>
        <w:tc>
          <w:tcPr>
            <w:tcW w:type="dxa" w:w="2160"/>
          </w:tcPr>
          <w:p>
            <w:r>
              <w:t>Hémoglobine</w:t>
            </w:r>
          </w:p>
        </w:tc>
        <w:tc>
          <w:tcPr>
            <w:tcW w:type="dxa" w:w="2160"/>
          </w:tcPr>
          <w:p>
            <w:r>
              <w:t>11,9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12,0 - 16,0</w:t>
            </w:r>
          </w:p>
        </w:tc>
      </w:tr>
    </w:tbl>
    <w:p>
      <w:pPr>
        <w:pStyle w:val="Heading1"/>
      </w:pPr>
      <w:r>
        <w:t>Commentaire du biologiste</w:t>
      </w:r>
    </w:p>
    <w:p>
      <w:r>
        <w:t>Insuffisance rénale chronique avec hyperkaliémie. Contrôle recommandé.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