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Endocrinologie</w:t>
      </w:r>
    </w:p>
    <w:p>
      <w:r>
        <w:t>Patient : M. Guy GIRARD, né le 26/07/1970 (55 ans) — IPP 4100020</w:t>
      </w:r>
    </w:p>
    <w:p>
      <w:r>
        <w:t>Date : 11/07/2026</w:t>
      </w:r>
    </w:p>
    <w:p>
      <w:r>
        <w:t>Rédigé par : Dr Marc Henrion, endocrinologue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Disparition de l'asthénie. TSH normalisée à 1,5 mUI/L.</w:t>
      </w:r>
    </w:p>
    <w:p>
      <w:pPr>
        <w:pStyle w:val="Heading1"/>
      </w:pPr>
      <w:r>
        <w:t>Conduite à tenir</w:t>
      </w:r>
    </w:p>
    <w:p>
      <w:r>
        <w:t>Lévothyroxine maintenue à 88 µg par jour. Contrôle annuel de la TSH.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Marc Henrion, endocrinologue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