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</w:t>
      </w:r>
    </w:p>
    <w:p>
      <w:r>
        <w:t>Centre Hospitalier de Valmont — Service de Pneumologie</w:t>
      </w:r>
    </w:p>
    <w:p>
      <w:r>
        <w:t>Patient : M. Gilles GARNIER, né le 22/04/1955 (70 ans) — IPP 4100026</w:t>
      </w:r>
    </w:p>
    <w:p>
      <w:r>
        <w:t>Date : 29/12/2025</w:t>
      </w:r>
    </w:p>
    <w:p>
      <w:r>
        <w:t>Rédigé par : Dr Sofia Benali, pneumologue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 de consultation</w:t>
      </w:r>
    </w:p>
    <w:p>
      <w:r>
        <w:t>Suivi d'une BPCO stade GOLD 3. Tabagisme sevré, estimé à 55 paquets-années.</w:t>
      </w:r>
    </w:p>
    <w:p>
      <w:pPr>
        <w:pStyle w:val="Heading1"/>
      </w:pPr>
      <w:r>
        <w:t>Allergies</w:t>
      </w:r>
    </w:p>
    <w:p>
      <w:r>
        <w:t>Pas d'allergie médicamenteuse connue.</w:t>
      </w:r>
    </w:p>
    <w:p>
      <w:pPr>
        <w:pStyle w:val="Heading1"/>
      </w:pPr>
      <w:r>
        <w:t>Explorations fonctionnelles respiratoires</w:t>
      </w:r>
    </w:p>
    <w:p>
      <w:r>
        <w:t>Trouble ventilatoire obstructif non réversible. VEMS à 40 % de la valeur théorique, rapport VEMS/CVF à 0,54.</w:t>
      </w:r>
    </w:p>
    <w:p>
      <w:pPr>
        <w:pStyle w:val="Heading1"/>
      </w:pPr>
      <w:r>
        <w:t>Conclusion</w:t>
      </w:r>
    </w:p>
    <w:p>
      <w:r>
        <w:t>Poursuite du traitement inhalé et programme de réhabilitation respiratoire proposé.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</dc:title>
  <dc:subject/>
  <dc:creator>Dr Sofia Benali, pneumologue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