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M. Gilles GARNIER, né le 22/04/1955 (70 ans) — IPP 4100026</w:t>
      </w:r>
    </w:p>
    <w:p>
      <w:r>
        <w:t>Date : 06/04/2026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5 jours.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Saturation à 84 % en air ambiant à l'admission. L'évolution a été favorable sous aérosols de bronchodilatateurs, oxygénothérapie à faible débit et antibiothérapie intraveineuse. Un relais oral par amoxicilline-acide clavulanique a été décidé le 04/04/2026.</w:t>
      </w:r>
    </w:p>
    <w:p>
      <w:r>
        <w:t>Ce traitement est à poursuivre à la dose de 1 g trois fois par jour pour une durée totale de 5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