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M. Michel LAMBERT, né le 06/11/1986 (38 ans) — IPP 4100027</w:t>
      </w:r>
    </w:p>
    <w:p>
      <w:r>
        <w:t>Date : 16/02/2025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10 mois, lithiase vésiculaire confirmée à l'échographie du 27/01/2025.</w:t>
      </w:r>
    </w:p>
    <w:p>
      <w:pPr>
        <w:pStyle w:val="Heading1"/>
      </w:pPr>
      <w:r>
        <w:t>Allergies</w:t>
      </w:r>
    </w:p>
    <w:p>
      <w:r>
        <w:t>Allergie alimentaire à l'arachide (œdème des lèvres en 2018).</w:t>
      </w:r>
    </w:p>
    <w:p>
      <w:pPr>
        <w:pStyle w:val="Heading1"/>
      </w:pPr>
      <w:r>
        <w:t>Conclusion</w:t>
      </w:r>
    </w:p>
    <w:p>
      <w:r>
        <w:t>Indication de cholécystectomie par cœlioscopie, programmée le 27/03/2025.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