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Chirurgie orthopédique</w:t>
      </w:r>
    </w:p>
    <w:p>
      <w:r>
        <w:t>Patient : Mme Christine LAURENT, née le 07/09/1948 (77 ans) — IPP 4100029</w:t>
      </w:r>
    </w:p>
    <w:p>
      <w:r>
        <w:t>Date : 16/09/2025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à six semaines de la PTH gauche. Marche sans canne, cicatrice propre, pas de douleur nocturne. Radiographie : implants en place, sans liseré.</w:t>
      </w:r>
    </w:p>
    <w:p>
      <w:pPr>
        <w:pStyle w:val="Heading1"/>
      </w:pPr>
      <w:r>
        <w:t>Conduite à tenir</w:t>
      </w:r>
    </w:p>
    <w:p>
      <w:r>
        <w:t>Arrêt de l'énoxaparine effectué. Poursuite de la rééducation. Contrôle à un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