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Amlodipine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Antihypertenseur, inhibiteur calcique.</w:t>
      </w:r>
    </w:p>
    <w:p>
      <w:pPr>
        <w:pStyle w:val="Heading1"/>
      </w:pPr>
      <w:r>
        <w:t>Indications</w:t>
      </w:r>
    </w:p>
    <w:p>
      <w:r>
        <w:t>Hypertension artérielle, angor stable.</w:t>
      </w:r>
    </w:p>
    <w:p>
      <w:pPr>
        <w:pStyle w:val="Heading1"/>
      </w:pPr>
      <w:r>
        <w:t>Posologie usuelle</w:t>
      </w:r>
    </w:p>
    <w:p>
      <w:r>
        <w:t>5 à 10 mg par jour en une prise.</w:t>
      </w:r>
    </w:p>
    <w:p>
      <w:pPr>
        <w:pStyle w:val="Heading1"/>
      </w:pPr>
      <w:r>
        <w:t>Contre-indications</w:t>
      </w:r>
    </w:p>
    <w:p>
      <w:r>
        <w:t>Choc cardiogénique, rétrécissement aortique serré, hypotension sévère.</w:t>
      </w:r>
    </w:p>
    <w:p>
      <w:pPr>
        <w:pStyle w:val="Heading1"/>
      </w:pPr>
      <w:r>
        <w:t>Précautions d'emploi</w:t>
      </w:r>
    </w:p>
    <w:p>
      <w:r>
        <w:t>Prudence en cas d'insuffisance hépatique. Généralement poursuivie le jour d'une intervention.</w:t>
      </w:r>
    </w:p>
    <w:p>
      <w:pPr>
        <w:pStyle w:val="Heading1"/>
      </w:pPr>
      <w:r>
        <w:t>Interactions médicamenteuses</w:t>
      </w:r>
    </w:p>
    <w:p>
      <w:r>
        <w:t>Inhibiteurs puissants du CYP3A4 (clarithromycine, certains antifongiques) : augmentation des concentrations d'amlodipine.</w:t>
      </w:r>
    </w:p>
    <w:p>
      <w:pPr>
        <w:pStyle w:val="Heading1"/>
      </w:pPr>
      <w:r>
        <w:t>Effets indésirables</w:t>
      </w:r>
    </w:p>
    <w:p>
      <w:r>
        <w:t>Fréquents : œdèmes des chevilles, céphalées, bouffées de chaleur, palpitations.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Amlodipine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