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Céfazoline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de la famille des céphalosporines de première génération, utilisé pour l'antibioprophylaxie chirurgicale.</w:t>
      </w:r>
    </w:p>
    <w:p>
      <w:pPr>
        <w:pStyle w:val="Heading1"/>
      </w:pPr>
      <w:r>
        <w:t>Indications</w:t>
      </w:r>
    </w:p>
    <w:p>
      <w:r>
        <w:t>Antibioprophylaxie en chirurgie digestive, orthopédique et vasculaire.</w:t>
      </w:r>
    </w:p>
    <w:p>
      <w:pPr>
        <w:pStyle w:val="Heading1"/>
      </w:pPr>
      <w:r>
        <w:t>Posologie usuelle</w:t>
      </w:r>
    </w:p>
    <w:p>
      <w:r>
        <w:t>2 g par voie intraveineuse à l'induction anesthésique ; réinjection de 1 g si l'intervention dure plus de 4 heures.</w:t>
      </w:r>
    </w:p>
    <w:p>
      <w:pPr>
        <w:pStyle w:val="Heading1"/>
      </w:pPr>
      <w:r>
        <w:t>Contre-indications</w:t>
      </w:r>
    </w:p>
    <w:p>
      <w:r>
        <w:t>Allergie aux céphalosporines. Antécédent de réaction allergique immédiate et sévère à une pénicilline.</w:t>
      </w:r>
    </w:p>
    <w:p>
      <w:pPr>
        <w:pStyle w:val="Heading1"/>
      </w:pPr>
      <w:r>
        <w:t>Précautions d'emploi</w:t>
      </w:r>
    </w:p>
    <w:p>
      <w:r>
        <w:t>En cas d'allergie aux pénicillines, l'antibioprophylaxie fait habituellement appel à la clindamycine, éventuellement associée à la gentamicine selon la chirurgie.</w:t>
      </w:r>
    </w:p>
    <w:p>
      <w:pPr>
        <w:pStyle w:val="Heading1"/>
      </w:pPr>
      <w:r>
        <w:t>Interactions médicamenteuses</w:t>
      </w:r>
    </w:p>
    <w:p>
      <w:r>
        <w:t>Anticoagulants oraux (surveillance de l'INR).</w:t>
      </w:r>
    </w:p>
    <w:p>
      <w:pPr>
        <w:pStyle w:val="Heading1"/>
      </w:pPr>
      <w:r>
        <w:t>Effets indésirables</w:t>
      </w:r>
    </w:p>
    <w:p>
      <w:r>
        <w:t>Réactions allergiques, diarrhée, veinite au point d'injection.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Céfazoline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