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Fiche médicament : Énoxaparine</w:t>
      </w:r>
    </w:p>
    <w:p>
      <w:r>
        <w:t>Centre Hospitalier de Valmont — Pharmacie à usage intérieur</w:t>
      </w:r>
    </w:p>
    <w:p>
      <w:r>
        <w:t>Livret thérapeutique — version du 02/01/2026</w:t>
      </w:r>
    </w:p>
    <w:p>
      <w:r>
        <w:t>Rédigé par : Pharmacie à usage intérieur du CHV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Classe thérapeutique</w:t>
      </w:r>
    </w:p>
    <w:p>
      <w:r>
        <w:t>Anticoagulant injectable, héparine de bas poids moléculaire (HBPM).</w:t>
      </w:r>
    </w:p>
    <w:p>
      <w:pPr>
        <w:pStyle w:val="Heading1"/>
      </w:pPr>
      <w:r>
        <w:t>Indications</w:t>
      </w:r>
    </w:p>
    <w:p>
      <w:r>
        <w:t>Prévention et traitement de la maladie thromboembolique veineuse.</w:t>
      </w:r>
    </w:p>
    <w:p>
      <w:pPr>
        <w:pStyle w:val="Heading1"/>
      </w:pPr>
      <w:r>
        <w:t>Posologie usuelle</w:t>
      </w:r>
    </w:p>
    <w:p>
      <w:r>
        <w:t>Prévention après chirurgie orthopédique : 4000 UI une fois par jour par voie sous-cutanée, pendant 35 jours après une prothèse de hanche. 2000 UI par jour si le DFG est inférieur à 30 mL/min.</w:t>
      </w:r>
    </w:p>
    <w:p>
      <w:pPr>
        <w:pStyle w:val="Heading1"/>
      </w:pPr>
      <w:r>
        <w:t>Contre-indications</w:t>
      </w:r>
    </w:p>
    <w:p>
      <w:r>
        <w:t>Antécédent de thrombopénie induite par l'héparine. Saignement actif. Lésion organique susceptible de saigner.</w:t>
      </w:r>
    </w:p>
    <w:p>
      <w:pPr>
        <w:pStyle w:val="Heading1"/>
      </w:pPr>
      <w:r>
        <w:t>Précautions d'emploi</w:t>
      </w:r>
    </w:p>
    <w:p>
      <w:r>
        <w:t>Anesthésie rachidienne ou péridurale : respecter un délai d'au moins 12 heures entre la dernière injection à dose préventive et la ponction. Surveiller les plaquettes selon le contexte.</w:t>
      </w:r>
    </w:p>
    <w:p>
      <w:pPr>
        <w:pStyle w:val="Heading1"/>
      </w:pPr>
      <w:r>
        <w:t>Interactions médicamenteuses</w:t>
      </w:r>
    </w:p>
    <w:p>
      <w:r>
        <w:t>Antiagrégants, anti-inflammatoires et autres anticoagulants : risque hémorragique.</w:t>
      </w:r>
    </w:p>
    <w:p>
      <w:pPr>
        <w:pStyle w:val="Heading1"/>
      </w:pPr>
      <w:r>
        <w:t>Effets indésirables</w:t>
      </w:r>
    </w:p>
    <w:p>
      <w:r>
        <w:t>Hématomes au point d'injection, saignements ; thrombopénie, rare mais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médicament : Énoxaparine</dc:title>
  <dc:subject/>
  <dc:creator>Pharmacie à usage intérieur du CHV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