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Lévothyroxine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Hormone thyroïdienne de synthèse.</w:t>
      </w:r>
    </w:p>
    <w:p>
      <w:pPr>
        <w:pStyle w:val="Heading1"/>
      </w:pPr>
      <w:r>
        <w:t>Indications</w:t>
      </w:r>
    </w:p>
    <w:p>
      <w:r>
        <w:t>Hypothyroïdie, quelle qu'en soit la cause.</w:t>
      </w:r>
    </w:p>
    <w:p>
      <w:pPr>
        <w:pStyle w:val="Heading1"/>
      </w:pPr>
      <w:r>
        <w:t>Posologie usuelle</w:t>
      </w:r>
    </w:p>
    <w:p>
      <w:r>
        <w:t>Débuter à 25 à 50 µg par jour, puis augmenter par paliers toutes les 4 à 6 semaines selon la TSH. Dose de départ plus faible chez le sujet âgé ou coronarien. Prise le matin à jeun, 30 minutes avant le petit-déjeuner.</w:t>
      </w:r>
    </w:p>
    <w:p>
      <w:pPr>
        <w:pStyle w:val="Heading1"/>
      </w:pPr>
      <w:r>
        <w:t>Contre-indications</w:t>
      </w:r>
    </w:p>
    <w:p>
      <w:r>
        <w:t>Hyperthyroïdie non traitée. Infarctus du myocarde récent, sauf avis cardiologique.</w:t>
      </w:r>
    </w:p>
    <w:p>
      <w:pPr>
        <w:pStyle w:val="Heading1"/>
      </w:pPr>
      <w:r>
        <w:t>Précautions d'emploi</w:t>
      </w:r>
    </w:p>
    <w:p>
      <w:r>
        <w:t>Contrôler la TSH 6 à 8 semaines après chaque changement de dose. Signes de surdosage : palpitations, tachycardie, insomnie, amaigrissement.</w:t>
      </w:r>
    </w:p>
    <w:p>
      <w:pPr>
        <w:pStyle w:val="Heading1"/>
      </w:pPr>
      <w:r>
        <w:t>Interactions médicamenteuses</w:t>
      </w:r>
    </w:p>
    <w:p>
      <w:r>
        <w:t>Sels de calcium, sels de fer et pansements gastriques : espacer les prises d'au moins 2 heures. Inducteurs enzymatiques.</w:t>
      </w:r>
    </w:p>
    <w:p>
      <w:pPr>
        <w:pStyle w:val="Heading1"/>
      </w:pPr>
      <w:r>
        <w:t>Effets indésirables</w:t>
      </w:r>
    </w:p>
    <w:p>
      <w:r>
        <w:t>Liés à un surdosage : palpitations, tremblements, insomnie, diarrhée.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Lévothyroxine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