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médicament : Ramipril</w:t>
      </w:r>
    </w:p>
    <w:p>
      <w:r>
        <w:t>Centre Hospitalier de Valmont — Pharmacie à usage intérieur</w:t>
      </w:r>
    </w:p>
    <w:p>
      <w:r>
        <w:t>Livret thérapeutique — version du 02/01/2026</w:t>
      </w:r>
    </w:p>
    <w:p>
      <w:r>
        <w:t>Rédigé par : Pharmacie à usage intérieur du CHV</w:t>
      </w:r>
    </w:p>
    <w:p>
      <w:r>
        <w:rPr>
          <w:i/>
        </w:rPr>
        <w:t>Document fictif généré pour un cours. Patients, médecins et données sont inventés. Posologies non vérifiées : ne jamais utiliser comme référence médicale.</w:t>
      </w:r>
    </w:p>
    <w:p>
      <w:pPr>
        <w:pStyle w:val="Heading1"/>
      </w:pPr>
      <w:r>
        <w:t>Classe thérapeutique</w:t>
      </w:r>
    </w:p>
    <w:p>
      <w:r>
        <w:t>Antihypertenseur, inhibiteur de l'enzyme de conversion (IEC).</w:t>
      </w:r>
    </w:p>
    <w:p>
      <w:pPr>
        <w:pStyle w:val="Heading1"/>
      </w:pPr>
      <w:r>
        <w:t>Indications</w:t>
      </w:r>
    </w:p>
    <w:p>
      <w:r>
        <w:t>Hypertension artérielle, insuffisance cardiaque, prévention après un infarctus du myocarde, néphropathie.</w:t>
      </w:r>
    </w:p>
    <w:p>
      <w:pPr>
        <w:pStyle w:val="Heading1"/>
      </w:pPr>
      <w:r>
        <w:t>Posologie usuelle</w:t>
      </w:r>
    </w:p>
    <w:p>
      <w:r>
        <w:t>1,25 à 10 mg par jour en une prise. Dose réduite en cas d'insuffisance rénale.</w:t>
      </w:r>
    </w:p>
    <w:p>
      <w:pPr>
        <w:pStyle w:val="Heading1"/>
      </w:pPr>
      <w:r>
        <w:t>Contre-indications</w:t>
      </w:r>
    </w:p>
    <w:p>
      <w:r>
        <w:t>Antécédent d'angio-œdème. Grossesse (deuxième et troisième trimestres). Association au sacubitril/valsartan : respecter un délai de 36 heures entre la dernière prise de l'un et la première prise de l'autre. Sténose bilatérale des artères rénales.</w:t>
      </w:r>
    </w:p>
    <w:p>
      <w:pPr>
        <w:pStyle w:val="Heading1"/>
      </w:pPr>
      <w:r>
        <w:t>Précautions d'emploi</w:t>
      </w:r>
    </w:p>
    <w:p>
      <w:r>
        <w:t>Surveiller la kaliémie et la créatinine, surtout en cas d'insuffisance rénale. Avant une anesthésie générale, le ramipril est habituellement suspendu la veille de l'intervention, en raison du risque d'hypotension, selon l'avis de l'anesthésiste.</w:t>
      </w:r>
    </w:p>
    <w:p>
      <w:pPr>
        <w:pStyle w:val="Heading1"/>
      </w:pPr>
      <w:r>
        <w:t>Interactions médicamenteuses</w:t>
      </w:r>
    </w:p>
    <w:p>
      <w:r>
        <w:t>Spironolactone et suppléments potassiques : risque d'hyperkaliémie. Anti-inflammatoires non stéroïdiens : risque d'insuffisance rénale aiguë.</w:t>
      </w:r>
    </w:p>
    <w:p>
      <w:pPr>
        <w:pStyle w:val="Heading1"/>
      </w:pPr>
      <w:r>
        <w:t>Effets indésirables</w:t>
      </w:r>
    </w:p>
    <w:p>
      <w:r>
        <w:t>Fréquents : toux sèche, hypotension, vertiges, hyperkaliémie. Rare : angio-œdème.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médicament : Ramipril</dc:title>
  <dc:subject/>
  <dc:creator>Pharmacie à usage intérieur du CHV</dc:creator>
  <cp:keywords/>
  <dc:description>generated by python-docx</dc:description>
  <cp:lastModifiedBy/>
  <cp:revision>1</cp:revision>
  <dcterms:created xsi:type="dcterms:W3CDTF">2013-12-23T23:15:00Z</dcterms:created>
  <dcterms:modified xsi:type="dcterms:W3CDTF">2013-12-23T23:15:00Z</dcterms:modified>
  <cp:category/>
</cp:coreProperties>
</file>