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Suxaméthonium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Curare dépolarisant d'action très brève, utilisé pour l'intubation en urgence (induction en séquence rapide).</w:t>
      </w:r>
    </w:p>
    <w:p>
      <w:pPr>
        <w:pStyle w:val="Heading1"/>
      </w:pPr>
      <w:r>
        <w:t>Indications</w:t>
      </w:r>
    </w:p>
    <w:p>
      <w:r>
        <w:t>Intubation trachéale rapide, notamment chez le patient à l'estomac plein.</w:t>
      </w:r>
    </w:p>
    <w:p>
      <w:pPr>
        <w:pStyle w:val="Heading1"/>
      </w:pPr>
      <w:r>
        <w:t>Posologie usuelle</w:t>
      </w:r>
    </w:p>
    <w:p>
      <w:r>
        <w:t>1 mg/kg par voie intraveineuse.</w:t>
      </w:r>
    </w:p>
    <w:p>
      <w:pPr>
        <w:pStyle w:val="Heading1"/>
      </w:pPr>
      <w:r>
        <w:t>Contre-indications</w:t>
      </w:r>
    </w:p>
    <w:p>
      <w:r>
        <w:t>Hyperkaliémie. Antécédent personnel ou familial d'hyperthermie maligne. Déficit en pseudocholinestérases. Myopathies.</w:t>
      </w:r>
    </w:p>
    <w:p>
      <w:pPr>
        <w:pStyle w:val="Heading1"/>
      </w:pPr>
      <w:r>
        <w:t>Précautions d'emploi</w:t>
      </w:r>
    </w:p>
    <w:p>
      <w:r>
        <w:t>Le suxaméthonium élève transitoirement la kaliémie : il est évité chez les insuffisants rénaux dont la kaliémie est élevée. Le rocuronium est alors une alternative.</w:t>
      </w:r>
    </w:p>
    <w:p>
      <w:pPr>
        <w:pStyle w:val="Heading1"/>
      </w:pPr>
      <w:r>
        <w:t>Interactions médicamenteuses</w:t>
      </w:r>
    </w:p>
    <w:p>
      <w:r>
        <w:t>Néostigmine et certains antibiotiques (aminosides), qui prolongent son effet.</w:t>
      </w:r>
    </w:p>
    <w:p>
      <w:pPr>
        <w:pStyle w:val="Heading1"/>
      </w:pPr>
      <w:r>
        <w:t>Effets indésirables</w:t>
      </w:r>
    </w:p>
    <w:p>
      <w:r>
        <w:t>Fasciculations, myalgies, hyperkaliémie transitoire, bradycardie.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Suxaméthonium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