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Ticagrelor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Antiagrégant plaquettaire, inhibiteur du récepteur P2Y12.</w:t>
      </w:r>
    </w:p>
    <w:p>
      <w:pPr>
        <w:pStyle w:val="Heading1"/>
      </w:pPr>
      <w:r>
        <w:t>Indications</w:t>
      </w:r>
    </w:p>
    <w:p>
      <w:r>
        <w:t>Syndrome coronarien aigu, en association à l'aspirine.</w:t>
      </w:r>
    </w:p>
    <w:p>
      <w:pPr>
        <w:pStyle w:val="Heading1"/>
      </w:pPr>
      <w:r>
        <w:t>Posologie usuelle</w:t>
      </w:r>
    </w:p>
    <w:p>
      <w:r>
        <w:t>90 mg matin et soir, en association à l'aspirine, pendant 12 mois après un syndrome coronarien aigu.</w:t>
      </w:r>
    </w:p>
    <w:p>
      <w:pPr>
        <w:pStyle w:val="Heading1"/>
      </w:pPr>
      <w:r>
        <w:t>Contre-indications</w:t>
      </w:r>
    </w:p>
    <w:p>
      <w:r>
        <w:t>Saignement actif. Antécédent d'hémorragie intracrânienne. Insuffisance hépatique sévère. Association aux inhibiteurs puissants du CYP3A4 (clarithromycine, kétoconazole).</w:t>
      </w:r>
    </w:p>
    <w:p>
      <w:pPr>
        <w:pStyle w:val="Heading1"/>
      </w:pPr>
      <w:r>
        <w:t>Précautions d'emploi</w:t>
      </w:r>
    </w:p>
    <w:p>
      <w:r>
        <w:t>Chirurgie programmée : si l'effet antiagrégant n'est pas souhaité, arrêter le ticagrelor 5 jours avant l'intervention, après avis du cardiologue, surtout dans l'année qui suit la pose d'un stent. Le patient ne doit pas l'arrêter de sa propre initiative.</w:t>
      </w:r>
    </w:p>
    <w:p>
      <w:pPr>
        <w:pStyle w:val="Heading1"/>
      </w:pPr>
      <w:r>
        <w:t>Interactions médicamenteuses</w:t>
      </w:r>
    </w:p>
    <w:p>
      <w:r>
        <w:t>Anticoagulants, anti-inflammatoires, inhibiteurs puissants du CYP3A4.</w:t>
      </w:r>
    </w:p>
    <w:p>
      <w:pPr>
        <w:pStyle w:val="Heading1"/>
      </w:pPr>
      <w:r>
        <w:t>Effets indésirables</w:t>
      </w:r>
    </w:p>
    <w:p>
      <w:r>
        <w:t>Très fréquents : saignements, dyspnée. Fréquents : ecchymoses, augmentation de l'uricémie.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Ticagrelor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