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orthopédique</w:t>
      </w:r>
    </w:p>
    <w:p>
      <w:r>
        <w:t>Patient : M. André GUERIN, né le 23/05/1962 (63 ans) — IPP 4100009</w:t>
      </w:r>
    </w:p>
    <w:p>
      <w:r>
        <w:t>Date : 12/10/2025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PTH droite réalisée le 09/10/2025 pour coxarthrose.</w:t>
      </w:r>
    </w:p>
    <w:p>
      <w:pPr>
        <w:pStyle w:val="Heading1"/>
      </w:pPr>
      <w:r>
        <w:t>Suites opératoires</w:t>
      </w:r>
    </w:p>
    <w:p>
      <w:r>
        <w:t>Lever au premier jour, marche avec deux cannes. Radiographie de contrôle satisfaisante.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Énoxaparine</w:t>
            </w:r>
          </w:p>
        </w:tc>
        <w:tc>
          <w:tcPr>
            <w:tcW w:type="dxa" w:w="2160"/>
          </w:tcPr>
          <w:p>
            <w:r>
              <w:t>4000 UI</w:t>
            </w:r>
          </w:p>
        </w:tc>
        <w:tc>
          <w:tcPr>
            <w:tcW w:type="dxa" w:w="2160"/>
          </w:tcPr>
          <w:p>
            <w:r>
              <w:t>1 injection sous-cutanée par jour</w:t>
            </w:r>
          </w:p>
        </w:tc>
        <w:tc>
          <w:tcPr>
            <w:tcW w:type="dxa" w:w="2160"/>
          </w:tcPr>
          <w:p>
            <w:r>
              <w:t>35 jours</w:t>
            </w:r>
          </w:p>
        </w:tc>
      </w:tr>
      <w:tr>
        <w:tc>
          <w:tcPr>
            <w:tcW w:type="dxa" w:w="2160"/>
          </w:tcPr>
          <w:p>
            <w:r>
              <w:t>Paracétamol</w:t>
            </w:r>
          </w:p>
        </w:tc>
        <w:tc>
          <w:tcPr>
            <w:tcW w:type="dxa" w:w="2160"/>
          </w:tcPr>
          <w:p>
            <w:r>
              <w:t>1 g</w:t>
            </w:r>
          </w:p>
        </w:tc>
        <w:tc>
          <w:tcPr>
            <w:tcW w:type="dxa" w:w="2160"/>
          </w:tcPr>
          <w:p>
            <w:r>
              <w:t>Toutes les 6 heures si douleur</w:t>
            </w:r>
          </w:p>
        </w:tc>
        <w:tc>
          <w:tcPr>
            <w:tcW w:type="dxa" w:w="2160"/>
          </w:tcPr>
          <w:p>
            <w:r>
              <w:t>15 jours</w:t>
            </w:r>
          </w:p>
        </w:tc>
      </w:tr>
    </w:tbl>
    <w:p>
      <w:pPr>
        <w:pStyle w:val="Heading1"/>
      </w:pPr>
      <w:r>
        <w:t>Suivi</w:t>
      </w:r>
    </w:p>
    <w:p>
      <w:r>
        <w:t>Rééducation en centre ou à domicile. Consultation de contrôle à six semaines avec radiographie.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