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Cardiologie</w:t>
      </w:r>
    </w:p>
    <w:p>
      <w:r>
        <w:t>Patient : Mme Simone FOURNIER, née le 15/03/1956 (68 ans) — IPP 4100014</w:t>
      </w:r>
    </w:p>
    <w:p>
      <w:r>
        <w:t>Date : 24/02/2025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Infarctus du myocarde antérieur le 18/02/2025, traité par angioplastie primaire.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Évolution pendant le séjour</w:t>
      </w:r>
    </w:p>
    <w:p>
      <w:r>
        <w:t>Séjour en unité de soins intensifs cardiologiques pendant 48 heures sans trouble du rythme. Pic de troponine à 10911 ng/L. Échocardiographie : FEVG à 38 %, hypokinésie du territoire antérieur. Mobilisation progressive bien tolérée.</w:t>
      </w:r>
    </w:p>
    <w:p>
      <w:pPr>
        <w:pStyle w:val="Heading1"/>
      </w:pPr>
      <w:r>
        <w:t>Traitement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Médicament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Posologie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</w:tr>
      <w:tr>
        <w:tc>
          <w:tcPr>
            <w:tcW w:type="dxa" w:w="2160"/>
          </w:tcPr>
          <w:p>
            <w:r>
              <w:t>Aspirine</w:t>
            </w:r>
          </w:p>
        </w:tc>
        <w:tc>
          <w:tcPr>
            <w:tcW w:type="dxa" w:w="2160"/>
          </w:tcPr>
          <w:p>
            <w:r>
              <w:t>75 mg</w:t>
            </w:r>
          </w:p>
        </w:tc>
        <w:tc>
          <w:tcPr>
            <w:tcW w:type="dxa" w:w="2160"/>
          </w:tcPr>
          <w:p>
            <w:r>
              <w:t>1 fois par jour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Ticagrelor</w:t>
            </w:r>
          </w:p>
        </w:tc>
        <w:tc>
          <w:tcPr>
            <w:tcW w:type="dxa" w:w="2160"/>
          </w:tcPr>
          <w:p>
            <w:r>
              <w:t>90 mg</w:t>
            </w:r>
          </w:p>
        </w:tc>
        <w:tc>
          <w:tcPr>
            <w:tcW w:type="dxa" w:w="2160"/>
          </w:tcPr>
          <w:p>
            <w:r>
              <w:t>Matin et soir</w:t>
            </w:r>
          </w:p>
        </w:tc>
        <w:tc>
          <w:tcPr>
            <w:tcW w:type="dxa" w:w="2160"/>
          </w:tcPr>
          <w:p>
            <w:r>
              <w:t>12 mois</w:t>
            </w:r>
          </w:p>
        </w:tc>
      </w:tr>
      <w:tr>
        <w:tc>
          <w:tcPr>
            <w:tcW w:type="dxa" w:w="2160"/>
          </w:tcPr>
          <w:p>
            <w:r>
              <w:t>Atorvastatine</w:t>
            </w:r>
          </w:p>
        </w:tc>
        <w:tc>
          <w:tcPr>
            <w:tcW w:type="dxa" w:w="2160"/>
          </w:tcPr>
          <w:p>
            <w:r>
              <w:t>80 mg</w:t>
            </w:r>
          </w:p>
        </w:tc>
        <w:tc>
          <w:tcPr>
            <w:tcW w:type="dxa" w:w="2160"/>
          </w:tcPr>
          <w:p>
            <w:r>
              <w:t>Le soir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Bisoprolol</w:t>
            </w:r>
          </w:p>
        </w:tc>
        <w:tc>
          <w:tcPr>
            <w:tcW w:type="dxa" w:w="2160"/>
          </w:tcPr>
          <w:p>
            <w:r>
              <w:t>2,5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Ramipril</w:t>
            </w:r>
          </w:p>
        </w:tc>
        <w:tc>
          <w:tcPr>
            <w:tcW w:type="dxa" w:w="2160"/>
          </w:tcPr>
          <w:p>
            <w:r>
              <w:t>2,5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</w:tbl>
    <w:p>
      <w:pPr>
        <w:pStyle w:val="Heading1"/>
      </w:pPr>
      <w:r>
        <w:t>Suivi</w:t>
      </w:r>
    </w:p>
    <w:p>
      <w:r>
        <w:t>Réadaptation cardiaque à programmer. Consultation de cardiologie dans deux mois avec bilan lipidique.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