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Lettre de sortie d'hospitalisation</w:t>
      </w:r>
    </w:p>
    <w:p>
      <w:r>
        <w:t>Centre Hospitalier de Valmont — Service de Cardiologie</w:t>
      </w:r>
    </w:p>
    <w:p>
      <w:r>
        <w:t>Patient : Mme Jeanne SIMON, née le 18/10/1952 (73 ans) — IPP 4100015</w:t>
      </w:r>
    </w:p>
    <w:p>
      <w:r>
        <w:t>Date : 19/11/2025</w:t>
      </w:r>
    </w:p>
    <w:p>
      <w:r>
        <w:t>Rédigé par : Dr Anne Leclercq, cardiologue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Motif d'hospitalisation</w:t>
      </w:r>
    </w:p>
    <w:p>
      <w:r>
        <w:t>Décompensation cardiaque globale sur ICFEr (FEVG 32 %), dans un contexte infectieux.</w:t>
      </w:r>
    </w:p>
    <w:p>
      <w:pPr>
        <w:pStyle w:val="Heading1"/>
      </w:pPr>
      <w:r>
        <w:t>Allergies</w:t>
      </w:r>
    </w:p>
    <w:p>
      <w:r>
        <w:t>Pas d'allergie médicamenteuse connue.</w:t>
      </w:r>
    </w:p>
    <w:p>
      <w:pPr>
        <w:pStyle w:val="Heading1"/>
      </w:pPr>
      <w:r>
        <w:t>Évolution pendant le séjour</w:t>
      </w:r>
    </w:p>
    <w:p>
      <w:r>
        <w:t>À l'admission, dyspnée de repos, œdèmes des membres inférieurs et crépitants bilatéraux. NT-proBNP à 11072 pg/mL. Sous furosémide intraveineux, l'évolution a été favorable avec une perte de poids de 4 kg et une régression des œdèmes. Le relais par voie orale a été décidé le 15/11/2025.</w:t>
      </w:r>
    </w:p>
    <w:p>
      <w:r>
        <w:t>Il est réalisé avec du furosémide à 120 mg le matin, sous surveillance de la kaliémie et de la créatinine à une semaine. Une éducation thérapeutique a été réalisée sur la restriction sodée et la pesée quotidienne.</w:t>
      </w:r>
    </w:p>
    <w:p>
      <w:pPr>
        <w:pStyle w:val="Heading1"/>
      </w:pPr>
      <w:r>
        <w:t>Traitement de sortie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Médicament</w:t>
            </w:r>
          </w:p>
        </w:tc>
        <w:tc>
          <w:tcPr>
            <w:tcW w:type="dxa" w:w="2160"/>
          </w:tcPr>
          <w:p>
            <w:r>
              <w:t>Dose</w:t>
            </w:r>
          </w:p>
        </w:tc>
        <w:tc>
          <w:tcPr>
            <w:tcW w:type="dxa" w:w="2160"/>
          </w:tcPr>
          <w:p>
            <w:r>
              <w:t>Posologie</w:t>
            </w:r>
          </w:p>
        </w:tc>
        <w:tc>
          <w:tcPr>
            <w:tcW w:type="dxa" w:w="2160"/>
          </w:tcPr>
          <w:p>
            <w:r>
              <w:t>Durée</w:t>
            </w:r>
          </w:p>
        </w:tc>
      </w:tr>
      <w:tr>
        <w:tc>
          <w:tcPr>
            <w:tcW w:type="dxa" w:w="2160"/>
          </w:tcPr>
          <w:p>
            <w:r>
              <w:t>Furosémide</w:t>
            </w:r>
          </w:p>
        </w:tc>
        <w:tc>
          <w:tcPr>
            <w:tcW w:type="dxa" w:w="2160"/>
          </w:tcPr>
          <w:p>
            <w:r>
              <w:t>120 mg</w:t>
            </w:r>
          </w:p>
        </w:tc>
        <w:tc>
          <w:tcPr>
            <w:tcW w:type="dxa" w:w="2160"/>
          </w:tcPr>
          <w:p>
            <w:r>
              <w:t>Le matin</w:t>
            </w:r>
          </w:p>
        </w:tc>
        <w:tc>
          <w:tcPr>
            <w:tcW w:type="dxa" w:w="2160"/>
          </w:tcPr>
          <w:p>
            <w:r>
              <w:t>À réévaluer</w:t>
            </w:r>
          </w:p>
        </w:tc>
      </w:tr>
      <w:tr>
        <w:tc>
          <w:tcPr>
            <w:tcW w:type="dxa" w:w="2160"/>
          </w:tcPr>
          <w:p>
            <w:r>
              <w:t>Bisoprolol</w:t>
            </w:r>
          </w:p>
        </w:tc>
        <w:tc>
          <w:tcPr>
            <w:tcW w:type="dxa" w:w="2160"/>
          </w:tcPr>
          <w:p>
            <w:r>
              <w:t>1,25 mg</w:t>
            </w:r>
          </w:p>
        </w:tc>
        <w:tc>
          <w:tcPr>
            <w:tcW w:type="dxa" w:w="2160"/>
          </w:tcPr>
          <w:p>
            <w:r>
              <w:t>Le matin</w:t>
            </w:r>
          </w:p>
        </w:tc>
        <w:tc>
          <w:tcPr>
            <w:tcW w:type="dxa" w:w="2160"/>
          </w:tcPr>
          <w:p>
            <w:r>
              <w:t>Au long cours</w:t>
            </w:r>
          </w:p>
        </w:tc>
      </w:tr>
      <w:tr>
        <w:tc>
          <w:tcPr>
            <w:tcW w:type="dxa" w:w="2160"/>
          </w:tcPr>
          <w:p>
            <w:r>
              <w:t>Sacubitril/valsartan</w:t>
            </w:r>
          </w:p>
        </w:tc>
        <w:tc>
          <w:tcPr>
            <w:tcW w:type="dxa" w:w="2160"/>
          </w:tcPr>
          <w:p>
            <w:r>
              <w:t>24/26 mg</w:t>
            </w:r>
          </w:p>
        </w:tc>
        <w:tc>
          <w:tcPr>
            <w:tcW w:type="dxa" w:w="2160"/>
          </w:tcPr>
          <w:p>
            <w:r>
              <w:t>Matin et soir</w:t>
            </w:r>
          </w:p>
        </w:tc>
        <w:tc>
          <w:tcPr>
            <w:tcW w:type="dxa" w:w="2160"/>
          </w:tcPr>
          <w:p>
            <w:r>
              <w:t>Au long cours</w:t>
            </w:r>
          </w:p>
        </w:tc>
      </w:tr>
      <w:tr>
        <w:tc>
          <w:tcPr>
            <w:tcW w:type="dxa" w:w="2160"/>
          </w:tcPr>
          <w:p>
            <w:r>
              <w:t>Spironolactone</w:t>
            </w:r>
          </w:p>
        </w:tc>
        <w:tc>
          <w:tcPr>
            <w:tcW w:type="dxa" w:w="2160"/>
          </w:tcPr>
          <w:p>
            <w:r>
              <w:t>25 mg</w:t>
            </w:r>
          </w:p>
        </w:tc>
        <w:tc>
          <w:tcPr>
            <w:tcW w:type="dxa" w:w="2160"/>
          </w:tcPr>
          <w:p>
            <w:r>
              <w:t>Le matin</w:t>
            </w:r>
          </w:p>
        </w:tc>
        <w:tc>
          <w:tcPr>
            <w:tcW w:type="dxa" w:w="2160"/>
          </w:tcPr>
          <w:p>
            <w:r>
              <w:t>Au long cours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Lettre de sortie d'hospitalisation</dc:title>
  <dc:subject/>
  <dc:creator>Dr Anne Leclercq, cardiologue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