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Néphrologie</w:t>
      </w:r>
    </w:p>
    <w:p>
      <w:r>
        <w:t>Patient : Mme Odile DUBOIS, née le 25/06/1951 (73 ans) — IPP 4100022</w:t>
      </w:r>
    </w:p>
    <w:p>
      <w:r>
        <w:t>Date : 08/06/2025</w:t>
      </w:r>
    </w:p>
    <w:p>
      <w:r>
        <w:t>Rédigé par : Dr Paul Mercier, néphrologue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Kaliémie contrôlée à 4,8 mmol/L après réduction du ramipril. DFG stable à 40 mL/min. Pression artérielle bien contrôlée.</w:t>
      </w:r>
    </w:p>
    <w:p>
      <w:pPr>
        <w:pStyle w:val="Heading1"/>
      </w:pPr>
      <w:r>
        <w:t>Conduite à tenir</w:t>
      </w:r>
    </w:p>
    <w:p>
      <w:r>
        <w:t>Poursuite du ramipril 2,5 mg par jour. Surveillance biologique tous les trois mois.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Paul Mercier, néphrologue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