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post-opératoire</w:t>
      </w:r>
    </w:p>
    <w:p>
      <w:r>
        <w:t>Centre Hospitalier de Valmont — Service de Chirurgie digestive</w:t>
      </w:r>
    </w:p>
    <w:p>
      <w:r>
        <w:t>Patient : Mme Yvette VINCENT, née le 09/10/1990 (35 ans) — IPP 4100038</w:t>
      </w:r>
    </w:p>
    <w:p>
      <w:r>
        <w:t>Date : 01/04/2026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Contrôle après appendicectomie du 26/02/2026. Cicatrices propres, apyrexie, reprise d'une alimentation normale.</w:t>
      </w:r>
    </w:p>
    <w:p>
      <w:pPr>
        <w:pStyle w:val="Heading1"/>
      </w:pPr>
      <w:r>
        <w:t>Anatomopathologie</w:t>
      </w:r>
    </w:p>
    <w:p>
      <w:r>
        <w:t>Appendicite aiguë suppurée, sans lésion tumorale.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post-opératoire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