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Mme Brigitte RICHARD, née le 24/06/1993 (32 ans) — IPP 4100040</w:t>
      </w:r>
    </w:p>
    <w:p>
      <w:r>
        <w:t>Date : 15/01/2026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Asthénie, frilosité et prise de poids de 3 kg en six mois.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Hypothyroïdie en rapport avec une thyroïdectomie partielle ancienne. Introduction de la lévothyroxine à 25 µg par jour, à prendre le matin à jeun.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