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Néphrologie</w:t>
      </w:r>
    </w:p>
    <w:p>
      <w:r>
        <w:t>Patient : M. Roger MARTIN, né le 09/05/1966 (59 ans) — IPP 4100042</w:t>
      </w:r>
    </w:p>
    <w:p>
      <w:r>
        <w:t>Date : 02/08/2025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IRC stade 3b d'origine diabétique.</w:t>
      </w:r>
    </w:p>
    <w:p>
      <w:pPr>
        <w:pStyle w:val="Heading1"/>
      </w:pPr>
      <w:r>
        <w:t>Antécédents</w:t>
      </w:r>
    </w:p>
    <w:p>
      <w:r>
        <w:t>HTA ancienne, connue depuis 2007. Dyslipidémie.</w:t>
      </w:r>
    </w:p>
    <w:p>
      <w:pPr>
        <w:pStyle w:val="Heading1"/>
      </w:pPr>
      <w:r>
        <w:t>Allergies</w:t>
      </w:r>
    </w:p>
    <w:p>
      <w:r>
        <w:t>Allergie à l'aspirine (bronchospasme).</w:t>
      </w:r>
    </w:p>
    <w:p>
      <w:pPr>
        <w:pStyle w:val="Heading1"/>
      </w:pPr>
      <w:r>
        <w:t>Traitement en cours</w:t>
      </w:r>
    </w:p>
    <w:p>
      <w:r>
        <w:t>Ramipril 5 mg par jour, amlodipine 5 mg par jour, furosémide 40 mg le matin.</w:t>
      </w:r>
    </w:p>
    <w:p>
      <w:pPr>
        <w:pStyle w:val="Heading1"/>
      </w:pPr>
      <w:r>
        <w:t>Examen clinique</w:t>
      </w:r>
    </w:p>
    <w:p>
      <w:r>
        <w:t>Poids 64 kg, taille 156 cm, IMC 26,3 kg/m². Pression artérielle 131/74 mmHg, fréquence cardiaque 76 battements par minute. Examen clinique par ailleurs sans particularité.</w:t>
      </w:r>
    </w:p>
    <w:p>
      <w:pPr>
        <w:pStyle w:val="Heading1"/>
      </w:pPr>
      <w:r>
        <w:t>Conclusion</w:t>
      </w:r>
    </w:p>
    <w:p>
      <w:r>
        <w:t>Fonction rénale stable. Hyperkaliémie à 6,0 mmol/L sur le bilan du 22/07/2025 : réduction du ramipril de 5 mg à 2,5 mg par jour et conseils diététiques pauvres en potassium.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