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Valérie ROUSSEL, née le 07/10/1956 (68 ans) — IPP 4100045</w:t>
      </w:r>
    </w:p>
    <w:p>
      <w:r>
        <w:t>Date : 18/03/2025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ICFEr (FEVG 31 %), dans un contexte infectieux.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8270 pg/mL. Sous furosémide intraveineux, l'évolution a été favorable avec une perte de poids de 3 kg et une régression des œdèmes. Le relais par voie orale a été décidé le 14/03/2025.</w:t>
      </w:r>
    </w:p>
    <w:p>
      <w:r>
        <w:t>Il est réalisé avec du furosémide à 60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60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Sacubitril/valsartan</w:t>
            </w:r>
          </w:p>
        </w:tc>
        <w:tc>
          <w:tcPr>
            <w:tcW w:type="dxa" w:w="2160"/>
          </w:tcPr>
          <w:p>
            <w:r>
              <w:t>24/26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Spironolactone</w:t>
            </w:r>
          </w:p>
        </w:tc>
        <w:tc>
          <w:tcPr>
            <w:tcW w:type="dxa" w:w="2160"/>
          </w:tcPr>
          <w:p>
            <w:r>
              <w:t>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