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Aspirine à faible dose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Antiagrégant plaquettaire (acide acétylsalicylique à faible dose).</w:t>
      </w:r>
    </w:p>
    <w:p>
      <w:pPr>
        <w:pStyle w:val="Heading1"/>
      </w:pPr>
      <w:r>
        <w:t>Indications</w:t>
      </w:r>
    </w:p>
    <w:p>
      <w:r>
        <w:t>Prévention cardiovasculaire après un infarctus du myocarde, un accident vasculaire cérébral ou la pose d'un stent.</w:t>
      </w:r>
    </w:p>
    <w:p>
      <w:pPr>
        <w:pStyle w:val="Heading1"/>
      </w:pPr>
      <w:r>
        <w:t>Posologie usuelle</w:t>
      </w:r>
    </w:p>
    <w:p>
      <w:r>
        <w:t>75 à 160 mg par jour en une prise.</w:t>
      </w:r>
    </w:p>
    <w:p>
      <w:pPr>
        <w:pStyle w:val="Heading1"/>
      </w:pPr>
      <w:r>
        <w:t>Contre-indications</w:t>
      </w:r>
    </w:p>
    <w:p>
      <w:r>
        <w:t>Allergie à l'aspirine ou aux anti-inflammatoires non stéroïdiens. Ulcère gastro-duodénal évolutif. Maladie hémorragique.</w:t>
      </w:r>
    </w:p>
    <w:p>
      <w:pPr>
        <w:pStyle w:val="Heading1"/>
      </w:pPr>
      <w:r>
        <w:t>Précautions d'emploi</w:t>
      </w:r>
    </w:p>
    <w:p>
      <w:r>
        <w:t>En règle générale, l'aspirine à faible dose est poursuivie lors d'une chirurgie, sauf exceptions (neurochirurgie, certaines chirurgies urologiques ou ophtalmologiques).</w:t>
      </w:r>
    </w:p>
    <w:p>
      <w:pPr>
        <w:pStyle w:val="Heading1"/>
      </w:pPr>
      <w:r>
        <w:t>Interactions médicamenteuses</w:t>
      </w:r>
    </w:p>
    <w:p>
      <w:r>
        <w:t>Anticoagulants et anti-inflammatoires : risque hémorragique. Méthotrexate à forte dose.</w:t>
      </w:r>
    </w:p>
    <w:p>
      <w:pPr>
        <w:pStyle w:val="Heading1"/>
      </w:pPr>
      <w:r>
        <w:t>Effets indésirables</w:t>
      </w:r>
    </w:p>
    <w:p>
      <w:r>
        <w:t>Saignements, troubles digestifs, ulcère gastro-duodénal.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Aspirine à faible dose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