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Bupivacaïne (rachianesthésie)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Anesthésique local utilisé pour la rachianesthésie.</w:t>
      </w:r>
    </w:p>
    <w:p>
      <w:pPr>
        <w:pStyle w:val="Heading1"/>
      </w:pPr>
      <w:r>
        <w:t>Indications</w:t>
      </w:r>
    </w:p>
    <w:p>
      <w:r>
        <w:t>Rachianesthésie pour la chirurgie orthopédique, urologique et abdominale basse.</w:t>
      </w:r>
    </w:p>
    <w:p>
      <w:pPr>
        <w:pStyle w:val="Heading1"/>
      </w:pPr>
      <w:r>
        <w:t>Posologie usuelle</w:t>
      </w:r>
    </w:p>
    <w:p>
      <w:r>
        <w:t>10 à 15 mg de bupivacaïne hyperbare en injection intrathécale, selon la chirurgie.</w:t>
      </w:r>
    </w:p>
    <w:p>
      <w:pPr>
        <w:pStyle w:val="Heading1"/>
      </w:pPr>
      <w:r>
        <w:t>Contre-indications</w:t>
      </w:r>
    </w:p>
    <w:p>
      <w:r>
        <w:t>Troubles de la coagulation ou traitement anticoagulant non interrompu. Infection au point de ponction. Hypovolémie non corrigée.</w:t>
      </w:r>
    </w:p>
    <w:p>
      <w:pPr>
        <w:pStyle w:val="Heading1"/>
      </w:pPr>
      <w:r>
        <w:t>Précautions d'emploi</w:t>
      </w:r>
    </w:p>
    <w:p>
      <w:r>
        <w:t>Respecter les délais d'arrêt des anticoagulants et des antiagrégants avant la ponction. Surveiller la pression artérielle, l'hypotension étant fréquente.</w:t>
      </w:r>
    </w:p>
    <w:p>
      <w:pPr>
        <w:pStyle w:val="Heading1"/>
      </w:pPr>
      <w:r>
        <w:t>Interactions médicamenteuses</w:t>
      </w:r>
    </w:p>
    <w:p>
      <w:r>
        <w:t>Anticoagulants et HBPM : risque d'hématome péri-médullaire.</w:t>
      </w:r>
    </w:p>
    <w:p>
      <w:pPr>
        <w:pStyle w:val="Heading1"/>
      </w:pPr>
      <w:r>
        <w:t>Effets indésirables</w:t>
      </w:r>
    </w:p>
    <w:p>
      <w:r>
        <w:t>Hypotension, bradycardie, céphalées après la ponction, rétention urinaire.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Bupivacaïne (rachianesthésie)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