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Fiche médicament : Gliclazide</w:t>
      </w:r>
    </w:p>
    <w:p>
      <w:r>
        <w:t>Centre Hospitalier de Valmont — Pharmacie à usage intérieur</w:t>
      </w:r>
    </w:p>
    <w:p>
      <w:r>
        <w:t>Livret thérapeutique — version du 02/01/2026</w:t>
      </w:r>
    </w:p>
    <w:p>
      <w:r>
        <w:t>Rédigé par : Pharmacie à usage intérieur du CHV</w:t>
      </w:r>
    </w:p>
    <w:p>
      <w:r>
        <w:rPr>
          <w:i/>
        </w:rPr>
        <w:t>Document fictif généré pour un cours. Patients, médecins et données sont inventés. Posologies non vérifiées : ne jamais utiliser comme référence médicale.</w:t>
      </w:r>
    </w:p>
    <w:p>
      <w:pPr>
        <w:pStyle w:val="Heading1"/>
      </w:pPr>
      <w:r>
        <w:t>Classe thérapeutique</w:t>
      </w:r>
    </w:p>
    <w:p>
      <w:r>
        <w:t>Antidiabétique oral de la famille des sulfamides hypoglycémiants.</w:t>
      </w:r>
    </w:p>
    <w:p>
      <w:pPr>
        <w:pStyle w:val="Heading1"/>
      </w:pPr>
      <w:r>
        <w:t>Indications</w:t>
      </w:r>
    </w:p>
    <w:p>
      <w:r>
        <w:t>Diabète de type 2, seul ou en association.</w:t>
      </w:r>
    </w:p>
    <w:p>
      <w:pPr>
        <w:pStyle w:val="Heading1"/>
      </w:pPr>
      <w:r>
        <w:t>Posologie usuelle</w:t>
      </w:r>
    </w:p>
    <w:p>
      <w:r>
        <w:t>30 à 120 mg par jour en une prise, au petit-déjeuner (forme à libération modifiée).</w:t>
      </w:r>
    </w:p>
    <w:p>
      <w:pPr>
        <w:pStyle w:val="Heading1"/>
      </w:pPr>
      <w:r>
        <w:t>Contre-indications</w:t>
      </w:r>
    </w:p>
    <w:p>
      <w:r>
        <w:t>Insuffisance rénale ou hépatique sévère. Allergie aux sulfamides. Association au miconazole.</w:t>
      </w:r>
    </w:p>
    <w:p>
      <w:pPr>
        <w:pStyle w:val="Heading1"/>
      </w:pPr>
      <w:r>
        <w:t>Précautions d'emploi</w:t>
      </w:r>
    </w:p>
    <w:p>
      <w:r>
        <w:t>Risque d'hypoglycémie, majoré chez le sujet âgé, en cas de repas sauté ou d'effort intense. Le patient doit connaître les signes d'hypoglycémie et avoir du sucre sur lui. Ne pas prendre le gliclazide le matin d'une intervention chirurgicale, le patient étant à jeun.</w:t>
      </w:r>
    </w:p>
    <w:p>
      <w:pPr>
        <w:pStyle w:val="Heading1"/>
      </w:pPr>
      <w:r>
        <w:t>Interactions médicamenteuses</w:t>
      </w:r>
    </w:p>
    <w:p>
      <w:r>
        <w:t>Miconazole (contre-indiqué), alcool, bêtabloquants qui masquent les signes d'hypoglycémie.</w:t>
      </w:r>
    </w:p>
    <w:p>
      <w:pPr>
        <w:pStyle w:val="Heading1"/>
      </w:pPr>
      <w:r>
        <w:t>Effets indésirables</w:t>
      </w:r>
    </w:p>
    <w:p>
      <w:r>
        <w:t>Hypoglycémies, troubles digestifs, prise de poids.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médicament : Gliclazide</dc:title>
  <dc:subject/>
  <dc:creator>Pharmacie à usage intérieur du CHV</dc:creator>
  <cp:keywords/>
  <dc:description>generated by python-docx</dc:description>
  <cp:lastModifiedBy/>
  <cp:revision>1</cp:revision>
  <dcterms:created xsi:type="dcterms:W3CDTF">2013-12-23T23:15:00Z</dcterms:created>
  <dcterms:modified xsi:type="dcterms:W3CDTF">2013-12-23T23:15:00Z</dcterms:modified>
  <cp:category/>
</cp:coreProperties>
</file>