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Morphine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Antalgique opioïde fort.</w:t>
      </w:r>
    </w:p>
    <w:p>
      <w:pPr>
        <w:pStyle w:val="Heading1"/>
      </w:pPr>
      <w:r>
        <w:t>Indications</w:t>
      </w:r>
    </w:p>
    <w:p>
      <w:r>
        <w:t>Douleurs intenses, notamment post-opératoires.</w:t>
      </w:r>
    </w:p>
    <w:p>
      <w:pPr>
        <w:pStyle w:val="Heading1"/>
      </w:pPr>
      <w:r>
        <w:t>Posologie usuelle</w:t>
      </w:r>
    </w:p>
    <w:p>
      <w:r>
        <w:t>Titration intraveineuse en post-opératoire, puis relais oral de 5 à 10 mg toutes les 4 heures, à adapter à la douleur.</w:t>
      </w:r>
    </w:p>
    <w:p>
      <w:pPr>
        <w:pStyle w:val="Heading1"/>
      </w:pPr>
      <w:r>
        <w:t>Contre-indications</w:t>
      </w:r>
    </w:p>
    <w:p>
      <w:r>
        <w:t>Insuffisance respiratoire décompensée. Insuffisance hépatocellulaire sévère. Épilepsie non contrôlée.</w:t>
      </w:r>
    </w:p>
    <w:p>
      <w:pPr>
        <w:pStyle w:val="Heading1"/>
      </w:pPr>
      <w:r>
        <w:t>Précautions d'emploi</w:t>
      </w:r>
    </w:p>
    <w:p>
      <w:r>
        <w:t>En cas d'insuffisance rénale, les métabolites actifs s'accumulent, avec un risque de somnolence et de dépression respiratoire : réduire les doses et espacer les prises. Prévenir la constipation dès le début du traitement. Antidote : naloxone.</w:t>
      </w:r>
    </w:p>
    <w:p>
      <w:pPr>
        <w:pStyle w:val="Heading1"/>
      </w:pPr>
      <w:r>
        <w:t>Interactions médicamenteuses</w:t>
      </w:r>
    </w:p>
    <w:p>
      <w:r>
        <w:t>Autres dépresseurs du système nerveux central, alcool, benzodiazépines.</w:t>
      </w:r>
    </w:p>
    <w:p>
      <w:pPr>
        <w:pStyle w:val="Heading1"/>
      </w:pPr>
      <w:r>
        <w:t>Effets indésirables</w:t>
      </w:r>
    </w:p>
    <w:p>
      <w:r>
        <w:t>Constipation, nausées, vomissements, somnolence, rétention urinaire ; dépression respiratoire en cas de surdosage.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Morphine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