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Propofol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Anesthésique général intraveineux.</w:t>
      </w:r>
    </w:p>
    <w:p>
      <w:pPr>
        <w:pStyle w:val="Heading1"/>
      </w:pPr>
      <w:r>
        <w:t>Indications</w:t>
      </w:r>
    </w:p>
    <w:p>
      <w:r>
        <w:t>Induction et entretien de l'anesthésie générale, sédation.</w:t>
      </w:r>
    </w:p>
    <w:p>
      <w:pPr>
        <w:pStyle w:val="Heading1"/>
      </w:pPr>
      <w:r>
        <w:t>Posologie usuelle</w:t>
      </w:r>
    </w:p>
    <w:p>
      <w:r>
        <w:t>Induction : 1,5 à 2,5 mg/kg chez l'adulte, à réduire chez le sujet âgé ou fragile.</w:t>
      </w:r>
    </w:p>
    <w:p>
      <w:pPr>
        <w:pStyle w:val="Heading1"/>
      </w:pPr>
      <w:r>
        <w:t>Contre-indications</w:t>
      </w:r>
    </w:p>
    <w:p>
      <w:r>
        <w:t>Hypersensibilité au propofol, au soja ou à l'arachide.</w:t>
      </w:r>
    </w:p>
    <w:p>
      <w:pPr>
        <w:pStyle w:val="Heading1"/>
      </w:pPr>
      <w:r>
        <w:t>Précautions d'emploi</w:t>
      </w:r>
    </w:p>
    <w:p>
      <w:r>
        <w:t>Risque d'hypotension et d'apnée à l'induction, surtout chez le sujet âgé, hypovolémique ou insuffisant cardiaque. Administration réservée aux médecins anesthésistes.</w:t>
      </w:r>
    </w:p>
    <w:p>
      <w:pPr>
        <w:pStyle w:val="Heading1"/>
      </w:pPr>
      <w:r>
        <w:t>Interactions médicamenteuses</w:t>
      </w:r>
    </w:p>
    <w:p>
      <w:r>
        <w:t>Opioïdes et benzodiazépines : potentialisation de la dépression respiratoire et de l'hypotension.</w:t>
      </w:r>
    </w:p>
    <w:p>
      <w:pPr>
        <w:pStyle w:val="Heading1"/>
      </w:pPr>
      <w:r>
        <w:t>Effets indésirables</w:t>
      </w:r>
    </w:p>
    <w:p>
      <w:r>
        <w:t>Hypotension, apnée, douleur au point d'injection, bradycardie.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Propofol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