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Sitagliptine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Antidiabétique oral, inhibiteur de la DPP-4 (gliptine).</w:t>
      </w:r>
    </w:p>
    <w:p>
      <w:pPr>
        <w:pStyle w:val="Heading1"/>
      </w:pPr>
      <w:r>
        <w:t>Indications</w:t>
      </w:r>
    </w:p>
    <w:p>
      <w:r>
        <w:t>Diabète de type 2, en association à la metformine lorsque celle-ci ne suffit pas.</w:t>
      </w:r>
    </w:p>
    <w:p>
      <w:pPr>
        <w:pStyle w:val="Heading1"/>
      </w:pPr>
      <w:r>
        <w:t>Posologie usuelle</w:t>
      </w:r>
    </w:p>
    <w:p>
      <w:r>
        <w:t>100 mg une fois par jour. 50 mg par jour si le DFG est compris entre 30 et 44 mL/min, 25 mg par jour s'il est inférieur à 30 mL/min.</w:t>
      </w:r>
    </w:p>
    <w:p>
      <w:pPr>
        <w:pStyle w:val="Heading1"/>
      </w:pPr>
      <w:r>
        <w:t>Contre-indications</w:t>
      </w:r>
    </w:p>
    <w:p>
      <w:r>
        <w:t>Hypersensibilité à la sitagliptine.</w:t>
      </w:r>
    </w:p>
    <w:p>
      <w:pPr>
        <w:pStyle w:val="Heading1"/>
      </w:pPr>
      <w:r>
        <w:t>Précautions d'emploi</w:t>
      </w:r>
    </w:p>
    <w:p>
      <w:r>
        <w:t>Arrêter le traitement en cas de suspicion de pancréatite aiguë (douleur abdominale intense et persistante). Pas de risque d'hypoglycémie en monothérapie.</w:t>
      </w:r>
    </w:p>
    <w:p>
      <w:pPr>
        <w:pStyle w:val="Heading1"/>
      </w:pPr>
      <w:r>
        <w:t>Interactions médicamenteuses</w:t>
      </w:r>
    </w:p>
    <w:p>
      <w:r>
        <w:t>Peu d'interactions cliniquement significatives. Risque d'hypoglycémie en association avec un sulfamide hypoglycémiant ou l'insuline.</w:t>
      </w:r>
    </w:p>
    <w:p>
      <w:pPr>
        <w:pStyle w:val="Heading1"/>
      </w:pPr>
      <w:r>
        <w:t>Effets indésirables</w:t>
      </w:r>
    </w:p>
    <w:p>
      <w:r>
        <w:t>Fréquents : rhinopharyngite, céphalées. Rares : pancréatite aiguë, réactions d'hypersensibilité.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Sitagliptine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