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Tramadol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Antalgique opioïde faible.</w:t>
      </w:r>
    </w:p>
    <w:p>
      <w:pPr>
        <w:pStyle w:val="Heading1"/>
      </w:pPr>
      <w:r>
        <w:t>Indications</w:t>
      </w:r>
    </w:p>
    <w:p>
      <w:r>
        <w:t>Douleurs modérées à intenses, notamment post-opératoires.</w:t>
      </w:r>
    </w:p>
    <w:p>
      <w:pPr>
        <w:pStyle w:val="Heading1"/>
      </w:pPr>
      <w:r>
        <w:t>Posologie usuelle</w:t>
      </w:r>
    </w:p>
    <w:p>
      <w:r>
        <w:t>50 à 100 mg toutes les 4 à 6 heures, sans dépasser 400 mg par jour. Prises plus espacées chez le sujet âgé et en cas d'insuffisance rénale.</w:t>
      </w:r>
    </w:p>
    <w:p>
      <w:pPr>
        <w:pStyle w:val="Heading1"/>
      </w:pPr>
      <w:r>
        <w:t>Contre-indications</w:t>
      </w:r>
    </w:p>
    <w:p>
      <w:r>
        <w:t>Épilepsie non contrôlée. Insuffisance respiratoire sévère. Association aux IMAO.</w:t>
      </w:r>
    </w:p>
    <w:p>
      <w:pPr>
        <w:pStyle w:val="Heading1"/>
      </w:pPr>
      <w:r>
        <w:t>Précautions d'emploi</w:t>
      </w:r>
    </w:p>
    <w:p>
      <w:r>
        <w:t>Le tramadol abaisse le seuil épileptogène. Risque de syndrome sérotoninergique avec les antidépresseurs. Risque de dépendance en cas d'usage prolongé.</w:t>
      </w:r>
    </w:p>
    <w:p>
      <w:pPr>
        <w:pStyle w:val="Heading1"/>
      </w:pPr>
      <w:r>
        <w:t>Interactions médicamenteuses</w:t>
      </w:r>
    </w:p>
    <w:p>
      <w:r>
        <w:t>Antidépresseurs ISRS, IMAO, autres opioïdes, alcool.</w:t>
      </w:r>
    </w:p>
    <w:p>
      <w:pPr>
        <w:pStyle w:val="Heading1"/>
      </w:pPr>
      <w:r>
        <w:t>Effets indésirables</w:t>
      </w:r>
    </w:p>
    <w:p>
      <w:r>
        <w:t>Très fréquents : nausées, vertiges. Fréquents : vomissements, constipation, somnolence, sueurs.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Tramadol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