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 de suivi</w:t>
      </w:r>
    </w:p>
    <w:p>
      <w:r>
        <w:t>Centre Hospitalier de Valmont — Service de Cardiologie</w:t>
      </w:r>
    </w:p>
    <w:p>
      <w:r>
        <w:t>Patient : Mme Nathalie GIRARD, née le 15/12/1946 (78 ans) — IPP 4100005</w:t>
      </w:r>
    </w:p>
    <w:p>
      <w:r>
        <w:t>Date : 25/07/2025</w:t>
      </w:r>
    </w:p>
    <w:p>
      <w:r>
        <w:t>Rédigé par : Dr Anne Leclercq, cardiologue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Évolution</w:t>
      </w:r>
    </w:p>
    <w:p>
      <w:r>
        <w:t>Poids stable, absence d'œdème, dyspnée pour des efforts importants seulement.</w:t>
      </w:r>
    </w:p>
    <w:p>
      <w:pPr>
        <w:pStyle w:val="Heading1"/>
      </w:pPr>
      <w:r>
        <w:t>Conduite à tenir</w:t>
      </w:r>
    </w:p>
    <w:p>
      <w:r>
        <w:t>Diminution du furosémide à 40 mg le matin. Majoration du sacubitril/valsartan à 49/51 mg matin et soir.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 de suivi</dc:title>
  <dc:subject/>
  <dc:creator>Dr Anne Leclercq, cardiologue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