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Chirurgie digestive</w:t>
      </w:r>
    </w:p>
    <w:p>
      <w:r>
        <w:t>Patient : M. Olivier BLANC, né le 07/07/1973 (52 ans) — IPP 4100007</w:t>
      </w:r>
    </w:p>
    <w:p>
      <w:r>
        <w:t>Date : 08/02/2026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Coliques hépatiques à répétition depuis 11 mois, lithiase vésiculaire confirmée à l'échographie du 27/01/2026.</w:t>
      </w:r>
    </w:p>
    <w:p>
      <w:pPr>
        <w:pStyle w:val="Heading1"/>
      </w:pPr>
      <w:r>
        <w:t>Allergies</w:t>
      </w:r>
    </w:p>
    <w:p>
      <w:r>
        <w:t>Intolérance à la codéine (nausées et vomissements importants).</w:t>
      </w:r>
    </w:p>
    <w:p>
      <w:pPr>
        <w:pStyle w:val="Heading1"/>
      </w:pPr>
      <w:r>
        <w:t>Conclusion</w:t>
      </w:r>
    </w:p>
    <w:p>
      <w:r>
        <w:t>Indication de cholécystectomie par cœlioscopie, programmée le 15/03/2026. Consultation d'anesthésie à prévoir.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