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Néphrologie</w:t>
      </w:r>
    </w:p>
    <w:p>
      <w:r>
        <w:t>Patient : M. Thierry FRANCOIS, né le 14/03/1942 (83 ans) — IPP 4100012</w:t>
      </w:r>
    </w:p>
    <w:p>
      <w:r>
        <w:t>Date : 08/03/2026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Kaliémie contrôlée à 4,7 mmol/L après réduction du ramipril. DFG stable à 35 mL/min. Pression artérielle bien contrôlée.</w:t>
      </w:r>
    </w:p>
    <w:p>
      <w:pPr>
        <w:pStyle w:val="Heading1"/>
      </w:pPr>
      <w:r>
        <w:t>Conduite à tenir</w:t>
      </w:r>
    </w:p>
    <w:p>
      <w:r>
        <w:t>Poursuite du ramipril 5 mg par jour. Surveillance biologique tous les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