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Néphrologie</w:t>
      </w:r>
    </w:p>
    <w:p>
      <w:r>
        <w:t>Patient : M. Roger MARTIN, né le 09/05/1966 (59 ans) — IPP 4100042</w:t>
      </w:r>
    </w:p>
    <w:p>
      <w:r>
        <w:t>Date : 02/08/2025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Ramipril 2,5 mg : 1 comprimé le matin.</w:t>
      </w:r>
    </w:p>
    <w:p>
      <w:pPr>
        <w:pStyle w:val="ListBullet"/>
      </w:pPr>
      <w:r>
        <w:t>Furosémide 40 mg : 1 comprimé le matin.</w:t>
      </w:r>
    </w:p>
    <w:p>
      <w:pPr>
        <w:pStyle w:val="ListBullet"/>
      </w:pPr>
      <w:r>
        <w:t>Amlodipine 10 mg : 1 comprimé le soir.</w:t>
      </w:r>
    </w:p>
    <w:p>
      <w:r>
        <w:t>Ordonnance valable trois mois, à renouveler.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