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Cardiologie</w:t>
      </w:r>
    </w:p>
    <w:p>
      <w:r>
        <w:t>Patient : Mme Claire MARTINEZ, née le 25/06/1960 (65 ans) — IPP 4100044</w:t>
      </w:r>
    </w:p>
    <w:p>
      <w:r>
        <w:t>Date : 15/08/2025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Réadaptation cardiaque en cours. Pas de récidive angineuse. LDL-cholestérol à 0,75 g/L sous atorvastatine 80 mg.</w:t>
      </w:r>
    </w:p>
    <w:p>
      <w:pPr>
        <w:pStyle w:val="Heading1"/>
      </w:pPr>
      <w:r>
        <w:t>Conduite à tenir</w:t>
      </w:r>
    </w:p>
    <w:p>
      <w:r>
        <w:t>Poursuite du ticagrelor jusqu'à 12 mois après l'infarctus, puis aspirine seule.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