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 de suivi</w:t>
      </w:r>
    </w:p>
    <w:p>
      <w:r>
        <w:t>Centre Hospitalier de Valmont — Service de Endocrinologie</w:t>
      </w:r>
    </w:p>
    <w:p>
      <w:r>
        <w:t>Patient : M. Christian BONNET, né le 24/01/1961 (64 ans) — IPP 4100050</w:t>
      </w:r>
    </w:p>
    <w:p>
      <w:r>
        <w:t>Date : 08/05/2025</w:t>
      </w:r>
    </w:p>
    <w:p>
      <w:r>
        <w:t>Rédigé par : Dr Marc Henrion, endocrinologue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Évolution</w:t>
      </w:r>
    </w:p>
    <w:p>
      <w:r>
        <w:t>Amélioration partielle de l'asthénie. TSH encore élevée à 5,3 mUI/L.</w:t>
      </w:r>
    </w:p>
    <w:p>
      <w:pPr>
        <w:pStyle w:val="Heading1"/>
      </w:pPr>
      <w:r>
        <w:t>Conduite à tenir</w:t>
      </w:r>
    </w:p>
    <w:p>
      <w:r>
        <w:t>Augmentation de la lévothyroxine de 25 µg à 50 µg par jour. Contrôle de la TSH dans six semaines.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 de suivi</dc:title>
  <dc:subject/>
  <dc:creator>Dr Marc Henrion, endocrinologue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