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Endocrinologie</w:t>
      </w:r>
    </w:p>
    <w:p>
      <w:r>
        <w:t>Patient : M. Christian BONNET, né le 24/01/1961 (64 ans) — IPP 4100050</w:t>
      </w:r>
    </w:p>
    <w:p>
      <w:r>
        <w:t>Date : 17/07/2025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Disparition de l'asthénie. TSH normalisée à 2,2 mUI/L.</w:t>
      </w:r>
    </w:p>
    <w:p>
      <w:pPr>
        <w:pStyle w:val="Heading1"/>
      </w:pPr>
      <w:r>
        <w:t>Conduite à tenir</w:t>
      </w:r>
    </w:p>
    <w:p>
      <w:r>
        <w:t>Lévothyroxine maintenue à 50 µg par jour. Contrôle annuel de la TSH.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