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Néphrologie</w:t>
      </w:r>
    </w:p>
    <w:p>
      <w:r>
        <w:t>Patient : M. Pierre PERRIN, né le 05/10/1958 (67 ans) — IPP 4100052</w:t>
      </w:r>
    </w:p>
    <w:p>
      <w:r>
        <w:t>Date : 13/10/2025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Kaliémie contrôlée à 4,8 mmol/L après réduction du ramipril. DFG stable à 22 mL/min. Pression artérielle bien contrôlée.</w:t>
      </w:r>
    </w:p>
    <w:p>
      <w:pPr>
        <w:pStyle w:val="Heading1"/>
      </w:pPr>
      <w:r>
        <w:t>Conduite à tenir</w:t>
      </w:r>
    </w:p>
    <w:p>
      <w:r>
        <w:t>Poursuite du ramipril 2,5 mg par jour. Préparation progressive à la suppléance rénale expliquée lors de la consultation.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