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Pneumologie</w:t>
      </w:r>
    </w:p>
    <w:p>
      <w:r>
        <w:t>Patient : M. Claude MATHIEU, né le 05/06/1966 (58 ans) — IPP 4100056</w:t>
      </w:r>
    </w:p>
    <w:p>
      <w:r>
        <w:t>Date : 11/01/2025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BPCO stade GOLD 3. Tabagisme sevré, estimé à 39 paquets-années.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Explorations fonctionnelles respiratoires</w:t>
      </w:r>
    </w:p>
    <w:p>
      <w:r>
        <w:t>Trouble ventilatoire obstructif non réversible. VEMS à 45 % de la valeur théorique, rapport VEMS/CVF à 0,57.</w:t>
      </w:r>
    </w:p>
    <w:p>
      <w:pPr>
        <w:pStyle w:val="Heading1"/>
      </w:pPr>
      <w:r>
        <w:t>Conclusion</w:t>
      </w:r>
    </w:p>
    <w:p>
      <w:r>
        <w:t>Poursuite du traitement inhalé et programme de réhabilitation respiratoire proposé.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