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Fiche médicament : Furosémide</w:t>
      </w:r>
    </w:p>
    <w:p>
      <w:r>
        <w:t>Centre Hospitalier de Valmont — Pharmacie à usage intérieur</w:t>
      </w:r>
    </w:p>
    <w:p>
      <w:r>
        <w:t>Livret thérapeutique — version du 02/01/2026</w:t>
      </w:r>
    </w:p>
    <w:p>
      <w:r>
        <w:t>Rédigé par : Pharmacie à usage intérieur du CHV</w:t>
      </w:r>
    </w:p>
    <w:p>
      <w:r>
        <w:rPr>
          <w:i/>
        </w:rPr>
        <w:t>Document fictif généré pour un cours. Patients, médecins et données sont inventés. Posologies non vérifiées : ne jamais utiliser comme référence médicale.</w:t>
      </w:r>
    </w:p>
    <w:p>
      <w:pPr>
        <w:pStyle w:val="Heading1"/>
      </w:pPr>
      <w:r>
        <w:t>Classe thérapeutique</w:t>
      </w:r>
    </w:p>
    <w:p>
      <w:r>
        <w:t>Diurétique de l'anse.</w:t>
      </w:r>
    </w:p>
    <w:p>
      <w:pPr>
        <w:pStyle w:val="Heading1"/>
      </w:pPr>
      <w:r>
        <w:t>Indications</w:t>
      </w:r>
    </w:p>
    <w:p>
      <w:r>
        <w:t>Œdèmes de l'insuffisance cardiaque, de l'insuffisance rénale ou de la cirrhose ; hypertension artérielle.</w:t>
      </w:r>
    </w:p>
    <w:p>
      <w:pPr>
        <w:pStyle w:val="Heading1"/>
      </w:pPr>
      <w:r>
        <w:t>Posologie usuelle</w:t>
      </w:r>
    </w:p>
    <w:p>
      <w:r>
        <w:t>20 à 80 mg par jour le matin ; doses plus élevées dans l'insuffisance cardiaque ou rénale sévère.</w:t>
      </w:r>
    </w:p>
    <w:p>
      <w:pPr>
        <w:pStyle w:val="Heading1"/>
      </w:pPr>
      <w:r>
        <w:t>Contre-indications</w:t>
      </w:r>
    </w:p>
    <w:p>
      <w:r>
        <w:t>Anurie, hypovolémie ou déshydratation, encéphalopathie hépatique, hypokaliémie sévère non corrigée.</w:t>
      </w:r>
    </w:p>
    <w:p>
      <w:pPr>
        <w:pStyle w:val="Heading1"/>
      </w:pPr>
      <w:r>
        <w:t>Précautions d'emploi</w:t>
      </w:r>
    </w:p>
    <w:p>
      <w:r>
        <w:t>Surveiller la kaliémie, la natrémie et la créatinine. Peser le patient régulièrement.</w:t>
      </w:r>
    </w:p>
    <w:p>
      <w:pPr>
        <w:pStyle w:val="Heading1"/>
      </w:pPr>
      <w:r>
        <w:t>Interactions médicamenteuses</w:t>
      </w:r>
    </w:p>
    <w:p>
      <w:r>
        <w:t>Lithium (augmentation de la lithémie), aminosides (toxicité auditive), médicaments allongeant le QT en cas d'hypokaliémie.</w:t>
      </w:r>
    </w:p>
    <w:p>
      <w:pPr>
        <w:pStyle w:val="Heading1"/>
      </w:pPr>
      <w:r>
        <w:t>Effets indésirables</w:t>
      </w:r>
    </w:p>
    <w:p>
      <w:r>
        <w:t>Hypokaliémie, déshydratation, hyponatrémie, hypotension orthostatique, hyperuricémie. À fortes doses : toxicité auditive.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Fiche médicament : Furosémide</dc:title>
  <dc:subject/>
  <dc:creator>Pharmacie à usage intérieur du CHV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