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Insuline glargine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Insuline basale d'action prolongée, environ 24 heures.</w:t>
      </w:r>
    </w:p>
    <w:p>
      <w:pPr>
        <w:pStyle w:val="Heading1"/>
      </w:pPr>
      <w:r>
        <w:t>Indications</w:t>
      </w:r>
    </w:p>
    <w:p>
      <w:r>
        <w:t>Diabète de type 1 et de type 2 nécessitant une insuline basale.</w:t>
      </w:r>
    </w:p>
    <w:p>
      <w:pPr>
        <w:pStyle w:val="Heading1"/>
      </w:pPr>
      <w:r>
        <w:t>Posologie usuelle</w:t>
      </w:r>
    </w:p>
    <w:p>
      <w:r>
        <w:t>Une injection sous-cutanée par jour, à heure fixe. Dose initiale habituelle de 10 UI, adaptée ensuite selon les glycémies à jeun.</w:t>
      </w:r>
    </w:p>
    <w:p>
      <w:pPr>
        <w:pStyle w:val="Heading1"/>
      </w:pPr>
      <w:r>
        <w:t>Contre-indications</w:t>
      </w:r>
    </w:p>
    <w:p>
      <w:r>
        <w:t>Hypersensibilité à l'insuline glargine.</w:t>
      </w:r>
    </w:p>
    <w:p>
      <w:pPr>
        <w:pStyle w:val="Heading1"/>
      </w:pPr>
      <w:r>
        <w:t>Précautions d'emploi</w:t>
      </w:r>
    </w:p>
    <w:p>
      <w:r>
        <w:t>Risque d'hypoglycémie : l'autosurveillance glycémique est indispensable. La veille d'une intervention, la dose est généralement réduite d'environ 20 %, selon le protocole de l'établissement. Varier les sites d'injection.</w:t>
      </w:r>
    </w:p>
    <w:p>
      <w:pPr>
        <w:pStyle w:val="Heading1"/>
      </w:pPr>
      <w:r>
        <w:t>Interactions médicamenteuses</w:t>
      </w:r>
    </w:p>
    <w:p>
      <w:r>
        <w:t>Corticoïdes (augmentation de la glycémie), bêtabloquants (masquent les signes d'hypoglycémie), alcool.</w:t>
      </w:r>
    </w:p>
    <w:p>
      <w:pPr>
        <w:pStyle w:val="Heading1"/>
      </w:pPr>
      <w:r>
        <w:t>Effets indésirables</w:t>
      </w:r>
    </w:p>
    <w:p>
      <w:r>
        <w:t>Hypoglycémie, lipodystrophie au point d'injection, prise de poids.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Insuline glargine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