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Métronidazole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Antibiotique et antiparasitaire de la famille des nitro-imidazolés.</w:t>
      </w:r>
    </w:p>
    <w:p>
      <w:pPr>
        <w:pStyle w:val="Heading1"/>
      </w:pPr>
      <w:r>
        <w:t>Indications</w:t>
      </w:r>
    </w:p>
    <w:p>
      <w:r>
        <w:t>Infections à germes anaérobies, notamment intra-abdominales ; certaines parasitoses.</w:t>
      </w:r>
    </w:p>
    <w:p>
      <w:pPr>
        <w:pStyle w:val="Heading1"/>
      </w:pPr>
      <w:r>
        <w:t>Posologie usuelle</w:t>
      </w:r>
    </w:p>
    <w:p>
      <w:r>
        <w:t>500 mg trois fois par jour.</w:t>
      </w:r>
    </w:p>
    <w:p>
      <w:pPr>
        <w:pStyle w:val="Heading1"/>
      </w:pPr>
      <w:r>
        <w:t>Contre-indications</w:t>
      </w:r>
    </w:p>
    <w:p>
      <w:r>
        <w:t>Hypersensibilité aux imidazolés.</w:t>
      </w:r>
    </w:p>
    <w:p>
      <w:pPr>
        <w:pStyle w:val="Heading1"/>
      </w:pPr>
      <w:r>
        <w:t>Précautions d'emploi</w:t>
      </w:r>
    </w:p>
    <w:p>
      <w:r>
        <w:t>Ne pas consommer d'alcool pendant le traitement et jusqu'à 48 heures après son arrêt (effet antabuse : bouffées de chaleur, vomissements, tachycardie).</w:t>
      </w:r>
    </w:p>
    <w:p>
      <w:pPr>
        <w:pStyle w:val="Heading1"/>
      </w:pPr>
      <w:r>
        <w:t>Interactions médicamenteuses</w:t>
      </w:r>
    </w:p>
    <w:p>
      <w:r>
        <w:t>Alcool, disulfirame, anticoagulants oraux (augmentation de leur effet).</w:t>
      </w:r>
    </w:p>
    <w:p>
      <w:pPr>
        <w:pStyle w:val="Heading1"/>
      </w:pPr>
      <w:r>
        <w:t>Effets indésirables</w:t>
      </w:r>
    </w:p>
    <w:p>
      <w:r>
        <w:t>Goût métallique, nausées, coloration brune des urines. Rare : neuropathie en cas de traitement prolongé.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Métronidazole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