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Paracétamol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Antalgique et antipyrétique.</w:t>
      </w:r>
    </w:p>
    <w:p>
      <w:pPr>
        <w:pStyle w:val="Heading1"/>
      </w:pPr>
      <w:r>
        <w:t>Indications</w:t>
      </w:r>
    </w:p>
    <w:p>
      <w:r>
        <w:t>Douleurs d'intensité légère à modérée, fièvre.</w:t>
      </w:r>
    </w:p>
    <w:p>
      <w:pPr>
        <w:pStyle w:val="Heading1"/>
      </w:pPr>
      <w:r>
        <w:t>Posologie usuelle</w:t>
      </w:r>
    </w:p>
    <w:p>
      <w:r>
        <w:t>1 g par prise, à renouveler si besoin au bout de 4 heures minimum, sans dépasser 4 g par jour chez l'adulte. Dose maximale de 3 g par jour si le poids est inférieur à 50 kg, en cas d'insuffisance hépatique, d'alcoolisme chronique ou de dénutrition.</w:t>
      </w:r>
    </w:p>
    <w:p>
      <w:pPr>
        <w:pStyle w:val="Heading1"/>
      </w:pPr>
      <w:r>
        <w:t>Contre-indications</w:t>
      </w:r>
    </w:p>
    <w:p>
      <w:r>
        <w:t>Insuffisance hépatocellulaire sévère.</w:t>
      </w:r>
    </w:p>
    <w:p>
      <w:pPr>
        <w:pStyle w:val="Heading1"/>
      </w:pPr>
      <w:r>
        <w:t>Précautions d'emploi</w:t>
      </w:r>
    </w:p>
    <w:p>
      <w:r>
        <w:t>Vérifier l'absence de paracétamol dans les autres médicaments pris, pour éviter un surdosage. Espacer les prises d'au moins 8 heures si le DFG est inférieur à 10 mL/min.</w:t>
      </w:r>
    </w:p>
    <w:p>
      <w:pPr>
        <w:pStyle w:val="Heading1"/>
      </w:pPr>
      <w:r>
        <w:t>Interactions médicamenteuses</w:t>
      </w:r>
    </w:p>
    <w:p>
      <w:r>
        <w:t>Antivitamines K : surveiller l'INR en cas de doses élevées prolongées.</w:t>
      </w:r>
    </w:p>
    <w:p>
      <w:pPr>
        <w:pStyle w:val="Heading1"/>
      </w:pPr>
      <w:r>
        <w:t>Effets indésirables</w:t>
      </w:r>
    </w:p>
    <w:p>
      <w:r>
        <w:t>Rares : réactions cutanées. En cas de surdosage : atteinte hépatique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Paracétamol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