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Spironolactone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Antagoniste des récepteurs des minéralocorticoïdes, diurétique épargneur de potassium.</w:t>
      </w:r>
    </w:p>
    <w:p>
      <w:pPr>
        <w:pStyle w:val="Heading1"/>
      </w:pPr>
      <w:r>
        <w:t>Indications</w:t>
      </w:r>
    </w:p>
    <w:p>
      <w:r>
        <w:t>Insuffisance cardiaque à fraction d'éjection réduite, hyperaldostéronisme, œdèmes.</w:t>
      </w:r>
    </w:p>
    <w:p>
      <w:pPr>
        <w:pStyle w:val="Heading1"/>
      </w:pPr>
      <w:r>
        <w:t>Posologie usuelle</w:t>
      </w:r>
    </w:p>
    <w:p>
      <w:r>
        <w:t>25 à 50 mg par jour dans l'insuffisance cardiaque.</w:t>
      </w:r>
    </w:p>
    <w:p>
      <w:pPr>
        <w:pStyle w:val="Heading1"/>
      </w:pPr>
      <w:r>
        <w:t>Contre-indications</w:t>
      </w:r>
    </w:p>
    <w:p>
      <w:r>
        <w:t>Hyperkaliémie (kaliémie supérieure à 5,0 mmol/L). Insuffisance rénale sévère avec un DFG inférieur à 30 mL/min. Maladie d'Addison.</w:t>
      </w:r>
    </w:p>
    <w:p>
      <w:pPr>
        <w:pStyle w:val="Heading1"/>
      </w:pPr>
      <w:r>
        <w:t>Précautions d'emploi</w:t>
      </w:r>
    </w:p>
    <w:p>
      <w:r>
        <w:t>Contrôler la kaliémie et la créatinine une semaine après le début du traitement, puis régulièrement.</w:t>
      </w:r>
    </w:p>
    <w:p>
      <w:pPr>
        <w:pStyle w:val="Heading1"/>
      </w:pPr>
      <w:r>
        <w:t>Interactions médicamenteuses</w:t>
      </w:r>
    </w:p>
    <w:p>
      <w:r>
        <w:t>IEC, sartans, sacubitril/valsartan et suppléments potassiques : risque d'hyperkaliémie.</w:t>
      </w:r>
    </w:p>
    <w:p>
      <w:pPr>
        <w:pStyle w:val="Heading1"/>
      </w:pPr>
      <w:r>
        <w:t>Effets indésirables</w:t>
      </w:r>
    </w:p>
    <w:p>
      <w:r>
        <w:t>Hyperkaliémie, gynécomastie, troubles digestifs.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Spironolactone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